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13" w:rsidRPr="002B0E9C" w:rsidRDefault="00285C13" w:rsidP="002B0E9C">
      <w:pPr>
        <w:jc w:val="right"/>
        <w:rPr>
          <w:rFonts w:ascii="Times New Roman" w:hAnsi="Times New Roman"/>
          <w:b/>
          <w:sz w:val="24"/>
          <w:szCs w:val="24"/>
        </w:rPr>
      </w:pPr>
      <w:r w:rsidRPr="002B0E9C">
        <w:rPr>
          <w:rFonts w:ascii="Times New Roman" w:hAnsi="Times New Roman"/>
          <w:b/>
          <w:sz w:val="24"/>
          <w:szCs w:val="24"/>
        </w:rPr>
        <w:t>EK</w:t>
      </w:r>
    </w:p>
    <w:tbl>
      <w:tblPr>
        <w:tblpPr w:leftFromText="180" w:rightFromText="180" w:bottomFromText="20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85C13" w:rsidRPr="00D20399" w:rsidTr="00EB1893">
        <w:tc>
          <w:tcPr>
            <w:tcW w:w="9288" w:type="dxa"/>
            <w:shd w:val="clear" w:color="auto" w:fill="595959"/>
            <w:vAlign w:val="center"/>
          </w:tcPr>
          <w:p w:rsidR="00285C13" w:rsidRPr="00D20399" w:rsidRDefault="00285C13" w:rsidP="009E0269">
            <w:pPr>
              <w:spacing w:before="240" w:after="240"/>
              <w:jc w:val="center"/>
              <w:rPr>
                <w:rFonts w:ascii="Times New Roman" w:hAnsi="Times New Roman"/>
                <w:b/>
                <w:color w:val="FFFFFF"/>
                <w:sz w:val="24"/>
                <w:szCs w:val="24"/>
              </w:rPr>
            </w:pPr>
            <w:r w:rsidRPr="00D20399">
              <w:rPr>
                <w:rFonts w:ascii="Times New Roman" w:hAnsi="Times New Roman"/>
                <w:b/>
                <w:color w:val="FFFFFF"/>
                <w:sz w:val="24"/>
                <w:szCs w:val="24"/>
              </w:rPr>
              <w:t>TÜRKİYE DENETİM STANDARTLARI</w:t>
            </w:r>
          </w:p>
        </w:tc>
      </w:tr>
    </w:tbl>
    <w:p w:rsidR="00285C13" w:rsidRPr="00F61BD1" w:rsidRDefault="00285C13" w:rsidP="004C4043">
      <w:pPr>
        <w:spacing w:before="120" w:after="120"/>
        <w:jc w:val="both"/>
        <w:rPr>
          <w:rFonts w:ascii="Times New Roman" w:hAnsi="Times New Roman"/>
          <w:b/>
          <w:sz w:val="24"/>
          <w:szCs w:val="24"/>
        </w:rPr>
      </w:pPr>
      <w:r w:rsidRPr="00657F23">
        <w:rPr>
          <w:rFonts w:ascii="Times New Roman" w:eastAsia="Times New Roman" w:hAnsi="Times New Roman"/>
          <w:b/>
          <w:sz w:val="24"/>
          <w:szCs w:val="24"/>
        </w:rPr>
        <w:t xml:space="preserve">                                                                                                                        </w:t>
      </w:r>
    </w:p>
    <w:tbl>
      <w:tblPr>
        <w:tblpPr w:leftFromText="180" w:rightFromText="180" w:vertAnchor="text" w:horzAnchor="margin" w:tblpX="1175" w:tblpY="3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122"/>
      </w:tblGrid>
      <w:tr w:rsidR="00285C13" w:rsidRPr="00D20399" w:rsidTr="00EB1893">
        <w:tc>
          <w:tcPr>
            <w:tcW w:w="7122" w:type="dxa"/>
          </w:tcPr>
          <w:p w:rsidR="00285C13" w:rsidRPr="00D20399" w:rsidRDefault="00285C13" w:rsidP="009E0269">
            <w:pPr>
              <w:jc w:val="center"/>
              <w:rPr>
                <w:rFonts w:ascii="Times New Roman" w:hAnsi="Times New Roman"/>
                <w:lang w:val="en-US"/>
              </w:rPr>
            </w:pPr>
            <w:r w:rsidRPr="00D20399">
              <w:rPr>
                <w:rFonts w:ascii="Times New Roman" w:hAnsi="Times New Roman"/>
                <w:b/>
                <w:sz w:val="24"/>
                <w:szCs w:val="24"/>
              </w:rPr>
              <w:t>BAĞIMSIZ DENETİM STANDARDI 805</w:t>
            </w:r>
            <w:r w:rsidRPr="00D20399">
              <w:rPr>
                <w:rFonts w:ascii="Times New Roman" w:hAnsi="Times New Roman"/>
                <w:b/>
                <w:sz w:val="24"/>
                <w:szCs w:val="24"/>
                <w:lang w:eastAsia="en-US"/>
              </w:rPr>
              <w:t xml:space="preserve"> </w:t>
            </w:r>
          </w:p>
        </w:tc>
      </w:tr>
    </w:tbl>
    <w:p w:rsidR="00285C13" w:rsidRPr="00F61BD1" w:rsidRDefault="00285C13" w:rsidP="004C4043">
      <w:pPr>
        <w:spacing w:before="120" w:after="120"/>
        <w:jc w:val="both"/>
        <w:rPr>
          <w:rFonts w:ascii="Times New Roman" w:hAnsi="Times New Roman"/>
          <w:b/>
          <w:sz w:val="24"/>
          <w:szCs w:val="24"/>
        </w:rPr>
      </w:pPr>
    </w:p>
    <w:p w:rsidR="00285C13" w:rsidRPr="00F61BD1" w:rsidRDefault="00285C13" w:rsidP="004C4043">
      <w:pPr>
        <w:spacing w:before="120" w:after="120"/>
        <w:jc w:val="both"/>
        <w:rPr>
          <w:rFonts w:ascii="Times New Roman" w:hAnsi="Times New Roman"/>
          <w:b/>
          <w:sz w:val="24"/>
          <w:szCs w:val="24"/>
        </w:rPr>
      </w:pPr>
    </w:p>
    <w:p w:rsidR="00285C13" w:rsidRPr="00F61BD1" w:rsidRDefault="00285C13" w:rsidP="004C4043">
      <w:pPr>
        <w:spacing w:before="120" w:after="120"/>
        <w:jc w:val="both"/>
        <w:rPr>
          <w:rFonts w:ascii="Times New Roman" w:hAnsi="Times New Roman"/>
          <w:b/>
          <w:sz w:val="24"/>
          <w:szCs w:val="24"/>
        </w:rPr>
      </w:pPr>
    </w:p>
    <w:p w:rsidR="00285C13" w:rsidRPr="00F61BD1" w:rsidRDefault="00285C13" w:rsidP="004C4043">
      <w:pPr>
        <w:spacing w:before="120" w:after="120"/>
        <w:jc w:val="both"/>
        <w:rPr>
          <w:rFonts w:ascii="Times New Roman" w:hAnsi="Times New Roman"/>
          <w:b/>
          <w:sz w:val="24"/>
          <w:szCs w:val="24"/>
        </w:rPr>
      </w:pPr>
    </w:p>
    <w:p w:rsidR="00285C13" w:rsidRDefault="00285C13" w:rsidP="005B4E9A">
      <w:pPr>
        <w:spacing w:before="120" w:after="120"/>
        <w:jc w:val="center"/>
        <w:rPr>
          <w:rFonts w:ascii="Times New Roman" w:hAnsi="Times New Roman"/>
          <w:b/>
          <w:sz w:val="24"/>
        </w:rPr>
      </w:pPr>
      <w:r w:rsidRPr="004C4043">
        <w:rPr>
          <w:rFonts w:ascii="Times New Roman" w:hAnsi="Times New Roman"/>
          <w:b/>
          <w:i/>
          <w:sz w:val="24"/>
          <w:szCs w:val="24"/>
        </w:rPr>
        <w:t xml:space="preserve">ÖZEL HUSUSLAR – TEK BİR FİNANSAL TABLONUN BAĞIMSIZ DENETİMİ İLE FİNANSAL TABLOLARDAKİ BELİRLİ UNSURLARIN, HESAPLARIN VEYA KALEMLERİN BAĞIMSIZ DENETİMİ </w:t>
      </w:r>
      <w:r w:rsidRPr="00F61BD1">
        <w:rPr>
          <w:rFonts w:ascii="Times New Roman" w:hAnsi="Times New Roman"/>
          <w:b/>
          <w:sz w:val="24"/>
        </w:rPr>
        <w:br w:type="page"/>
      </w:r>
    </w:p>
    <w:p w:rsidR="00285C13" w:rsidRDefault="00285C13" w:rsidP="004C4043">
      <w:pPr>
        <w:spacing w:before="120" w:after="120"/>
        <w:jc w:val="both"/>
        <w:rPr>
          <w:rFonts w:ascii="Times New Roman" w:hAnsi="Times New Roman"/>
          <w:b/>
          <w:sz w:val="24"/>
        </w:rPr>
        <w:sectPr w:rsidR="00285C13" w:rsidSect="00CC1347">
          <w:footerReference w:type="default" r:id="rId7"/>
          <w:footerReference w:type="first" r:id="rId8"/>
          <w:footnotePr>
            <w:numRestart w:val="eachSect"/>
          </w:footnotePr>
          <w:pgSz w:w="11907" w:h="16839" w:code="9"/>
          <w:pgMar w:top="1418" w:right="1417" w:bottom="1417" w:left="1417" w:header="708" w:footer="708" w:gutter="0"/>
          <w:cols w:space="708"/>
          <w:noEndnote/>
          <w:titlePg/>
          <w:docGrid w:linePitch="299"/>
        </w:sectPr>
      </w:pPr>
    </w:p>
    <w:p w:rsidR="00285C13" w:rsidRDefault="00285C13" w:rsidP="005B4E9A">
      <w:pPr>
        <w:spacing w:before="120" w:after="120"/>
        <w:ind w:right="142"/>
        <w:jc w:val="center"/>
        <w:rPr>
          <w:rFonts w:ascii="Times New Roman" w:hAnsi="Times New Roman"/>
          <w:b/>
          <w:sz w:val="24"/>
          <w:szCs w:val="24"/>
          <w:lang w:eastAsia="en-US"/>
        </w:rPr>
      </w:pPr>
      <w:r w:rsidRPr="00F90386">
        <w:rPr>
          <w:rFonts w:ascii="Times New Roman" w:hAnsi="Times New Roman"/>
          <w:b/>
          <w:sz w:val="24"/>
          <w:szCs w:val="24"/>
          <w:lang w:eastAsia="en-US"/>
        </w:rPr>
        <w:t xml:space="preserve">BAĞIMSIZ DENETİM STANDARDI 805 </w:t>
      </w:r>
    </w:p>
    <w:p w:rsidR="00285C13" w:rsidRDefault="00285C13" w:rsidP="005B4E9A">
      <w:pPr>
        <w:spacing w:before="120" w:after="120"/>
        <w:ind w:right="142"/>
        <w:jc w:val="center"/>
        <w:rPr>
          <w:rFonts w:ascii="Times New Roman" w:hAnsi="Times New Roman"/>
          <w:b/>
          <w:sz w:val="24"/>
          <w:szCs w:val="24"/>
          <w:lang w:eastAsia="en-US"/>
        </w:rPr>
      </w:pPr>
      <w:r w:rsidRPr="00F90386">
        <w:rPr>
          <w:rFonts w:ascii="Times New Roman" w:hAnsi="Times New Roman"/>
          <w:b/>
          <w:sz w:val="24"/>
          <w:szCs w:val="24"/>
          <w:lang w:eastAsia="en-US"/>
        </w:rPr>
        <w:t>ÖZEL HUSUSLAR – TEK BİR FİNANSAL TABLONUN BAĞIMSIZ DENETİMİ İLE FİNANSAL TABLOLARDAKİ BELİRLİ UNSURLARIN, HESAPLARIN VEYA KALEMLERİN BAĞIMSIZ DENETİMİ</w:t>
      </w:r>
    </w:p>
    <w:p w:rsidR="00285C13" w:rsidRDefault="00285C13" w:rsidP="005B4E9A">
      <w:pPr>
        <w:spacing w:before="120" w:after="240"/>
        <w:ind w:right="142"/>
        <w:jc w:val="center"/>
        <w:rPr>
          <w:rFonts w:ascii="Times New Roman" w:hAnsi="Times New Roman"/>
        </w:rPr>
      </w:pPr>
      <w:r>
        <w:rPr>
          <w:noProof/>
        </w:rPr>
        <w:pict>
          <v:line id="Düz Bağlayıcı 1" o:spid="_x0000_s1026" style="position:absolute;left:0;text-align:left;z-index:251656192;visibility:visible;mso-wrap-distance-top:-6e-5mm;mso-wrap-distance-bottom:-6e-5mm" from="-1.4pt,17.4pt" to="460.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" strokeweight="1.25pt">
            <o:lock v:ext="edit" shapetype="f"/>
          </v:line>
        </w:pict>
      </w:r>
      <w:r w:rsidRPr="00F90386">
        <w:rPr>
          <w:rFonts w:ascii="Times New Roman" w:hAnsi="Times New Roman"/>
          <w:b/>
          <w:sz w:val="24"/>
          <w:szCs w:val="24"/>
          <w:lang w:eastAsia="en-US"/>
        </w:rPr>
        <w:t>İÇİNDEKİLER</w:t>
      </w:r>
    </w:p>
    <w:p w:rsidR="00285C13" w:rsidRDefault="00285C13" w:rsidP="005B4E9A">
      <w:pPr>
        <w:ind w:right="142"/>
        <w:jc w:val="right"/>
        <w:rPr>
          <w:rFonts w:ascii="Times New Roman" w:hAnsi="Times New Roman"/>
          <w:sz w:val="24"/>
          <w:szCs w:val="24"/>
        </w:rPr>
      </w:pPr>
      <w:r w:rsidRPr="00F90386">
        <w:rPr>
          <w:rFonts w:ascii="Times New Roman" w:hAnsi="Times New Roman"/>
          <w:sz w:val="24"/>
          <w:szCs w:val="24"/>
        </w:rPr>
        <w:t>Paragraf</w:t>
      </w:r>
    </w:p>
    <w:p w:rsidR="00285C13" w:rsidRDefault="00285C13" w:rsidP="005B4E9A">
      <w:pPr>
        <w:spacing w:before="120" w:after="120"/>
        <w:ind w:right="142"/>
        <w:jc w:val="both"/>
        <w:rPr>
          <w:rFonts w:ascii="Times New Roman" w:hAnsi="Times New Roman"/>
          <w:b/>
          <w:sz w:val="24"/>
          <w:szCs w:val="24"/>
        </w:rPr>
      </w:pPr>
      <w:r w:rsidRPr="00F90386">
        <w:rPr>
          <w:rFonts w:ascii="Times New Roman" w:hAnsi="Times New Roman"/>
          <w:b/>
          <w:sz w:val="24"/>
          <w:szCs w:val="24"/>
        </w:rPr>
        <w:t>Giriş</w:t>
      </w:r>
    </w:p>
    <w:p w:rsidR="00285C13" w:rsidRDefault="00285C13" w:rsidP="005B4E9A">
      <w:pPr>
        <w:spacing w:before="120" w:after="120"/>
        <w:ind w:right="142"/>
        <w:jc w:val="both"/>
        <w:rPr>
          <w:rFonts w:ascii="Times New Roman" w:hAnsi="Times New Roman"/>
          <w:sz w:val="24"/>
          <w:szCs w:val="24"/>
        </w:rPr>
      </w:pPr>
      <w:r w:rsidRPr="00F90386">
        <w:rPr>
          <w:rFonts w:ascii="Times New Roman" w:hAnsi="Times New Roman"/>
          <w:sz w:val="24"/>
          <w:szCs w:val="24"/>
        </w:rPr>
        <w:t>Kapsam …………………………………………………………………..……………........</w:t>
      </w:r>
      <w:r>
        <w:rPr>
          <w:rFonts w:ascii="Times New Roman" w:hAnsi="Times New Roman"/>
          <w:sz w:val="24"/>
          <w:szCs w:val="24"/>
        </w:rPr>
        <w:t>.</w:t>
      </w:r>
      <w:r w:rsidRPr="00F90386">
        <w:rPr>
          <w:rFonts w:ascii="Times New Roman" w:hAnsi="Times New Roman"/>
          <w:sz w:val="24"/>
          <w:szCs w:val="24"/>
        </w:rPr>
        <w:t>1-3</w:t>
      </w:r>
    </w:p>
    <w:p w:rsidR="00285C13" w:rsidRDefault="00285C13" w:rsidP="005B4E9A">
      <w:pPr>
        <w:spacing w:before="120" w:after="120"/>
        <w:ind w:right="142"/>
        <w:jc w:val="both"/>
        <w:rPr>
          <w:rFonts w:ascii="Times New Roman" w:hAnsi="Times New Roman"/>
          <w:sz w:val="24"/>
          <w:szCs w:val="24"/>
        </w:rPr>
      </w:pPr>
      <w:r w:rsidRPr="00F90386">
        <w:rPr>
          <w:rFonts w:ascii="Times New Roman" w:hAnsi="Times New Roman"/>
          <w:sz w:val="24"/>
          <w:szCs w:val="24"/>
        </w:rPr>
        <w:t>Yürürlük Tarihi ………</w:t>
      </w:r>
      <w:r>
        <w:rPr>
          <w:rFonts w:ascii="Times New Roman" w:hAnsi="Times New Roman"/>
          <w:sz w:val="24"/>
          <w:szCs w:val="24"/>
        </w:rPr>
        <w:t>..</w:t>
      </w:r>
      <w:r w:rsidRPr="00F90386">
        <w:rPr>
          <w:rFonts w:ascii="Times New Roman" w:hAnsi="Times New Roman"/>
          <w:sz w:val="24"/>
          <w:szCs w:val="24"/>
        </w:rPr>
        <w:t>……………………………………….……………….….…….…....4</w:t>
      </w:r>
    </w:p>
    <w:p w:rsidR="00285C13" w:rsidRDefault="00285C13" w:rsidP="005B4E9A">
      <w:pPr>
        <w:spacing w:before="120" w:after="120"/>
        <w:ind w:right="142"/>
        <w:jc w:val="both"/>
        <w:rPr>
          <w:rFonts w:ascii="Times New Roman" w:hAnsi="Times New Roman"/>
          <w:b/>
          <w:sz w:val="24"/>
          <w:szCs w:val="24"/>
        </w:rPr>
      </w:pPr>
      <w:r w:rsidRPr="00F90386">
        <w:rPr>
          <w:rFonts w:ascii="Times New Roman" w:hAnsi="Times New Roman"/>
          <w:b/>
          <w:sz w:val="24"/>
          <w:szCs w:val="24"/>
        </w:rPr>
        <w:t>Amaç</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.....5</w:t>
      </w:r>
    </w:p>
    <w:p w:rsidR="00285C13" w:rsidRDefault="00285C13" w:rsidP="005B4E9A">
      <w:pPr>
        <w:spacing w:before="120" w:after="120"/>
        <w:ind w:right="142"/>
        <w:jc w:val="both"/>
        <w:rPr>
          <w:rFonts w:ascii="Times New Roman" w:hAnsi="Times New Roman"/>
          <w:b/>
          <w:sz w:val="24"/>
          <w:szCs w:val="24"/>
        </w:rPr>
      </w:pPr>
      <w:r w:rsidRPr="00F90386">
        <w:rPr>
          <w:rFonts w:ascii="Times New Roman" w:hAnsi="Times New Roman"/>
          <w:b/>
          <w:sz w:val="24"/>
          <w:szCs w:val="24"/>
        </w:rPr>
        <w:t xml:space="preserve">Tanımlar </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6</w:t>
      </w:r>
    </w:p>
    <w:p w:rsidR="00285C13" w:rsidRDefault="00285C13" w:rsidP="005B4E9A">
      <w:pPr>
        <w:spacing w:before="120" w:after="120"/>
        <w:ind w:right="142"/>
        <w:jc w:val="both"/>
        <w:rPr>
          <w:rFonts w:ascii="Times New Roman" w:hAnsi="Times New Roman"/>
          <w:b/>
          <w:sz w:val="24"/>
          <w:szCs w:val="24"/>
        </w:rPr>
      </w:pPr>
      <w:r w:rsidRPr="00F90386">
        <w:rPr>
          <w:rFonts w:ascii="Times New Roman" w:hAnsi="Times New Roman"/>
          <w:b/>
          <w:sz w:val="24"/>
          <w:szCs w:val="24"/>
        </w:rPr>
        <w:t>Ana Hükümler</w:t>
      </w:r>
    </w:p>
    <w:p w:rsidR="00285C13" w:rsidRDefault="00285C13" w:rsidP="005B4E9A">
      <w:pPr>
        <w:spacing w:before="120" w:after="120"/>
        <w:ind w:right="142"/>
        <w:jc w:val="both"/>
        <w:rPr>
          <w:rFonts w:ascii="Times New Roman" w:hAnsi="Times New Roman"/>
          <w:sz w:val="24"/>
          <w:szCs w:val="24"/>
        </w:rPr>
      </w:pPr>
      <w:r w:rsidRPr="00F90386">
        <w:rPr>
          <w:rFonts w:ascii="Times New Roman" w:hAnsi="Times New Roman"/>
          <w:sz w:val="24"/>
          <w:szCs w:val="24"/>
        </w:rPr>
        <w:t>Denetim</w:t>
      </w:r>
      <w:r>
        <w:rPr>
          <w:rFonts w:ascii="Times New Roman" w:hAnsi="Times New Roman"/>
          <w:sz w:val="24"/>
          <w:szCs w:val="24"/>
        </w:rPr>
        <w:t xml:space="preserve">in </w:t>
      </w:r>
      <w:r w:rsidRPr="00F90386">
        <w:rPr>
          <w:rFonts w:ascii="Times New Roman" w:hAnsi="Times New Roman"/>
          <w:sz w:val="24"/>
          <w:szCs w:val="24"/>
        </w:rPr>
        <w:t xml:space="preserve">Kabulüne İlişkin Hususlar </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…7-9</w:t>
      </w:r>
    </w:p>
    <w:p w:rsidR="00285C13" w:rsidRDefault="00285C13" w:rsidP="005B4E9A">
      <w:pPr>
        <w:spacing w:before="120" w:after="120"/>
        <w:ind w:right="142"/>
        <w:jc w:val="both"/>
        <w:rPr>
          <w:rFonts w:ascii="Times New Roman" w:hAnsi="Times New Roman"/>
          <w:sz w:val="24"/>
          <w:szCs w:val="24"/>
        </w:rPr>
      </w:pPr>
      <w:r w:rsidRPr="00F90386">
        <w:rPr>
          <w:rFonts w:ascii="Times New Roman" w:hAnsi="Times New Roman"/>
          <w:sz w:val="24"/>
          <w:szCs w:val="24"/>
        </w:rPr>
        <w:t xml:space="preserve">Denetimin </w:t>
      </w:r>
      <w:r>
        <w:rPr>
          <w:rFonts w:ascii="Times New Roman" w:hAnsi="Times New Roman"/>
          <w:sz w:val="24"/>
          <w:szCs w:val="24"/>
        </w:rPr>
        <w:t>Planlanması ve Yürütülmesine İ</w:t>
      </w:r>
      <w:r w:rsidRPr="00F90386">
        <w:rPr>
          <w:rFonts w:ascii="Times New Roman" w:hAnsi="Times New Roman"/>
          <w:sz w:val="24"/>
          <w:szCs w:val="24"/>
        </w:rPr>
        <w:t>lişkin Hususlar……..…</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.10</w:t>
      </w:r>
    </w:p>
    <w:p w:rsidR="00285C13" w:rsidRDefault="00285C13" w:rsidP="005B4E9A">
      <w:pPr>
        <w:spacing w:before="120" w:after="120"/>
        <w:ind w:right="142"/>
        <w:jc w:val="both"/>
        <w:rPr>
          <w:rFonts w:ascii="Times New Roman" w:hAnsi="Times New Roman"/>
          <w:sz w:val="24"/>
          <w:szCs w:val="24"/>
        </w:rPr>
      </w:pPr>
      <w:r>
        <w:rPr>
          <w:rFonts w:ascii="Times New Roman" w:hAnsi="Times New Roman"/>
          <w:sz w:val="24"/>
          <w:szCs w:val="24"/>
        </w:rPr>
        <w:t>Görüş</w:t>
      </w:r>
      <w:r w:rsidRPr="00F90386">
        <w:rPr>
          <w:rFonts w:ascii="Times New Roman" w:hAnsi="Times New Roman"/>
          <w:sz w:val="24"/>
          <w:szCs w:val="24"/>
        </w:rPr>
        <w:t xml:space="preserve"> Oluştur</w:t>
      </w:r>
      <w:r>
        <w:rPr>
          <w:rFonts w:ascii="Times New Roman" w:hAnsi="Times New Roman"/>
          <w:sz w:val="24"/>
          <w:szCs w:val="24"/>
        </w:rPr>
        <w:t>ma</w:t>
      </w:r>
      <w:r w:rsidRPr="00F90386">
        <w:rPr>
          <w:rFonts w:ascii="Times New Roman" w:hAnsi="Times New Roman"/>
          <w:sz w:val="24"/>
          <w:szCs w:val="24"/>
        </w:rPr>
        <w:t xml:space="preserve"> ve Raporlamaya İlişkin Hususlar....</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11-17</w:t>
      </w:r>
    </w:p>
    <w:p w:rsidR="00285C13" w:rsidRDefault="00285C13" w:rsidP="005B4E9A">
      <w:pPr>
        <w:spacing w:before="120" w:after="120"/>
        <w:ind w:right="142"/>
        <w:jc w:val="both"/>
        <w:rPr>
          <w:rFonts w:ascii="Times New Roman" w:hAnsi="Times New Roman"/>
          <w:b/>
          <w:sz w:val="24"/>
          <w:szCs w:val="24"/>
        </w:rPr>
      </w:pPr>
      <w:r w:rsidRPr="00F90386">
        <w:rPr>
          <w:rFonts w:ascii="Times New Roman" w:hAnsi="Times New Roman"/>
          <w:b/>
          <w:sz w:val="24"/>
          <w:szCs w:val="24"/>
        </w:rPr>
        <w:t xml:space="preserve">Açıklayıcı Hükümler ve Uygulama </w:t>
      </w:r>
    </w:p>
    <w:p w:rsidR="00285C13" w:rsidRDefault="00285C13" w:rsidP="005B4E9A">
      <w:pPr>
        <w:spacing w:before="120" w:after="120"/>
        <w:ind w:right="142"/>
        <w:jc w:val="both"/>
        <w:rPr>
          <w:rFonts w:ascii="Times New Roman" w:hAnsi="Times New Roman"/>
          <w:sz w:val="24"/>
          <w:szCs w:val="24"/>
        </w:rPr>
      </w:pPr>
      <w:r w:rsidRPr="00F90386">
        <w:rPr>
          <w:rFonts w:ascii="Times New Roman" w:hAnsi="Times New Roman"/>
          <w:sz w:val="24"/>
          <w:szCs w:val="24"/>
        </w:rPr>
        <w:t>Kapsa</w:t>
      </w:r>
      <w:r>
        <w:rPr>
          <w:rFonts w:ascii="Times New Roman" w:hAnsi="Times New Roman"/>
          <w:sz w:val="24"/>
          <w:szCs w:val="24"/>
        </w:rPr>
        <w:t>m...</w:t>
      </w:r>
      <w:r w:rsidRPr="00F90386">
        <w:rPr>
          <w:rFonts w:ascii="Times New Roman" w:hAnsi="Times New Roman"/>
          <w:sz w:val="24"/>
          <w:szCs w:val="24"/>
        </w:rPr>
        <w:t>………………………………..………………….............................................A1-A4</w:t>
      </w:r>
    </w:p>
    <w:p w:rsidR="00285C13" w:rsidRDefault="00285C13" w:rsidP="005B4E9A">
      <w:pPr>
        <w:spacing w:before="120" w:after="120"/>
        <w:ind w:right="142"/>
        <w:jc w:val="both"/>
        <w:rPr>
          <w:rFonts w:ascii="Times New Roman" w:hAnsi="Times New Roman"/>
          <w:sz w:val="24"/>
          <w:szCs w:val="24"/>
        </w:rPr>
      </w:pPr>
      <w:r w:rsidRPr="00F90386">
        <w:rPr>
          <w:rFonts w:ascii="Times New Roman" w:hAnsi="Times New Roman"/>
          <w:sz w:val="24"/>
          <w:szCs w:val="24"/>
        </w:rPr>
        <w:t>Denetim</w:t>
      </w:r>
      <w:r>
        <w:rPr>
          <w:rFonts w:ascii="Times New Roman" w:hAnsi="Times New Roman"/>
          <w:sz w:val="24"/>
          <w:szCs w:val="24"/>
        </w:rPr>
        <w:t>in</w:t>
      </w:r>
      <w:r w:rsidRPr="00F90386">
        <w:rPr>
          <w:rFonts w:ascii="Times New Roman" w:hAnsi="Times New Roman"/>
          <w:sz w:val="24"/>
          <w:szCs w:val="24"/>
        </w:rPr>
        <w:t xml:space="preserve"> Kabulüne İlişkin Hususlar</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A5-A9</w:t>
      </w:r>
    </w:p>
    <w:p w:rsidR="00285C13" w:rsidRDefault="00285C13" w:rsidP="005B4E9A">
      <w:pPr>
        <w:spacing w:before="120" w:after="120"/>
        <w:ind w:right="142"/>
        <w:jc w:val="both"/>
        <w:rPr>
          <w:rFonts w:ascii="Times New Roman" w:hAnsi="Times New Roman"/>
          <w:sz w:val="24"/>
          <w:szCs w:val="24"/>
        </w:rPr>
      </w:pPr>
      <w:r w:rsidRPr="00F90386">
        <w:rPr>
          <w:rFonts w:ascii="Times New Roman" w:hAnsi="Times New Roman"/>
          <w:sz w:val="24"/>
          <w:szCs w:val="24"/>
        </w:rPr>
        <w:t xml:space="preserve">Denetimin </w:t>
      </w:r>
      <w:r>
        <w:rPr>
          <w:rFonts w:ascii="Times New Roman" w:hAnsi="Times New Roman"/>
          <w:sz w:val="24"/>
          <w:szCs w:val="24"/>
        </w:rPr>
        <w:t>Planlanması ve Yürütülmesine İ</w:t>
      </w:r>
      <w:r w:rsidRPr="00F90386">
        <w:rPr>
          <w:rFonts w:ascii="Times New Roman" w:hAnsi="Times New Roman"/>
          <w:sz w:val="24"/>
          <w:szCs w:val="24"/>
        </w:rPr>
        <w:t>lişkin Hususlar</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A10-A14</w:t>
      </w:r>
    </w:p>
    <w:p w:rsidR="00285C13" w:rsidRDefault="00285C13" w:rsidP="005B4E9A">
      <w:pPr>
        <w:spacing w:before="120" w:after="120"/>
        <w:ind w:right="142"/>
        <w:jc w:val="both"/>
        <w:rPr>
          <w:rFonts w:ascii="Times New Roman" w:hAnsi="Times New Roman"/>
          <w:sz w:val="24"/>
          <w:szCs w:val="24"/>
        </w:rPr>
      </w:pPr>
      <w:r>
        <w:rPr>
          <w:rFonts w:ascii="Times New Roman" w:hAnsi="Times New Roman"/>
          <w:sz w:val="24"/>
          <w:szCs w:val="24"/>
        </w:rPr>
        <w:t>Görüş</w:t>
      </w:r>
      <w:r w:rsidRPr="00F90386">
        <w:rPr>
          <w:rFonts w:ascii="Times New Roman" w:hAnsi="Times New Roman"/>
          <w:sz w:val="24"/>
          <w:szCs w:val="24"/>
        </w:rPr>
        <w:t xml:space="preserve"> Oluştur</w:t>
      </w:r>
      <w:r>
        <w:rPr>
          <w:rFonts w:ascii="Times New Roman" w:hAnsi="Times New Roman"/>
          <w:sz w:val="24"/>
          <w:szCs w:val="24"/>
        </w:rPr>
        <w:t>ma</w:t>
      </w:r>
      <w:r w:rsidRPr="00F90386">
        <w:rPr>
          <w:rFonts w:ascii="Times New Roman" w:hAnsi="Times New Roman"/>
          <w:sz w:val="24"/>
          <w:szCs w:val="24"/>
        </w:rPr>
        <w:t xml:space="preserve"> ve Raporlamaya İlişkin Hususlar……</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w:t>
      </w:r>
      <w:r>
        <w:rPr>
          <w:rFonts w:ascii="Times New Roman" w:hAnsi="Times New Roman"/>
          <w:sz w:val="24"/>
          <w:szCs w:val="24"/>
        </w:rPr>
        <w:t>…</w:t>
      </w:r>
      <w:r w:rsidRPr="00F90386">
        <w:rPr>
          <w:rFonts w:ascii="Times New Roman" w:hAnsi="Times New Roman"/>
          <w:sz w:val="24"/>
          <w:szCs w:val="24"/>
        </w:rPr>
        <w:t>A15-A18</w:t>
      </w:r>
    </w:p>
    <w:p w:rsidR="00285C13" w:rsidRDefault="00285C13" w:rsidP="005B4E9A">
      <w:pPr>
        <w:spacing w:before="120" w:after="120"/>
        <w:ind w:right="142"/>
        <w:jc w:val="both"/>
        <w:rPr>
          <w:rFonts w:ascii="Times New Roman" w:hAnsi="Times New Roman"/>
          <w:sz w:val="24"/>
          <w:szCs w:val="24"/>
        </w:rPr>
      </w:pPr>
      <w:r w:rsidRPr="00F90386">
        <w:rPr>
          <w:rFonts w:ascii="Times New Roman" w:hAnsi="Times New Roman"/>
          <w:sz w:val="24"/>
          <w:szCs w:val="24"/>
        </w:rPr>
        <w:t>Ek 1: Finansal Tablo</w:t>
      </w:r>
      <w:r>
        <w:rPr>
          <w:rFonts w:ascii="Times New Roman" w:hAnsi="Times New Roman"/>
          <w:sz w:val="24"/>
          <w:szCs w:val="24"/>
        </w:rPr>
        <w:t>lar</w:t>
      </w:r>
      <w:r w:rsidRPr="00F90386">
        <w:rPr>
          <w:rFonts w:ascii="Times New Roman" w:hAnsi="Times New Roman"/>
          <w:sz w:val="24"/>
          <w:szCs w:val="24"/>
        </w:rPr>
        <w:t>daki Belirli Unsur, Hesap veya Kalemlere İlişkin Örnekler</w:t>
      </w:r>
    </w:p>
    <w:p w:rsidR="00285C13" w:rsidRPr="005B4E9A" w:rsidRDefault="00285C13" w:rsidP="005B4E9A">
      <w:pPr>
        <w:spacing w:before="120" w:after="120"/>
        <w:ind w:right="142"/>
        <w:jc w:val="both"/>
        <w:rPr>
          <w:rFonts w:ascii="Times New Roman" w:hAnsi="Times New Roman"/>
          <w:sz w:val="24"/>
          <w:szCs w:val="24"/>
        </w:rPr>
      </w:pPr>
      <w:r w:rsidRPr="00F90386">
        <w:rPr>
          <w:rFonts w:ascii="Times New Roman" w:hAnsi="Times New Roman"/>
          <w:sz w:val="24"/>
          <w:szCs w:val="24"/>
        </w:rPr>
        <w:t>Ek 2: Tek Bir Finansal Tabloya ve Finansal Tablo</w:t>
      </w:r>
      <w:r>
        <w:rPr>
          <w:rFonts w:ascii="Times New Roman" w:hAnsi="Times New Roman"/>
          <w:sz w:val="24"/>
          <w:szCs w:val="24"/>
        </w:rPr>
        <w:t>daki</w:t>
      </w:r>
      <w:r w:rsidRPr="00F90386">
        <w:rPr>
          <w:rFonts w:ascii="Times New Roman" w:hAnsi="Times New Roman"/>
          <w:sz w:val="24"/>
          <w:szCs w:val="24"/>
        </w:rPr>
        <w:t xml:space="preserve"> Belirli Bir Unsura İlişkin                   Denetçi Raporu Örnekler</w:t>
      </w:r>
      <w:r>
        <w:rPr>
          <w:rFonts w:ascii="Times New Roman" w:hAnsi="Times New Roman"/>
          <w:sz w:val="24"/>
          <w:szCs w:val="24"/>
        </w:rPr>
        <w:t>i</w:t>
      </w:r>
      <w:r w:rsidRPr="005B4E9A">
        <w:rPr>
          <w:rFonts w:ascii="Times New Roman" w:hAnsi="Times New Roman"/>
        </w:rPr>
        <w:br w:type="page"/>
      </w:r>
    </w:p>
    <w:p w:rsidR="00285C13" w:rsidRPr="00DE159B" w:rsidRDefault="00285C13" w:rsidP="00FE7317">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sz w:val="24"/>
          <w:szCs w:val="24"/>
        </w:rPr>
      </w:pPr>
      <w:r w:rsidRPr="00DE159B">
        <w:rPr>
          <w:rFonts w:ascii="Times New Roman" w:hAnsi="Times New Roman"/>
          <w:sz w:val="24"/>
          <w:szCs w:val="24"/>
        </w:rPr>
        <w:t xml:space="preserve">Bağımsız Denetim Standardı (BDS) </w:t>
      </w:r>
      <w:r>
        <w:rPr>
          <w:rFonts w:ascii="Times New Roman" w:hAnsi="Times New Roman"/>
          <w:sz w:val="24"/>
          <w:szCs w:val="24"/>
        </w:rPr>
        <w:t>805</w:t>
      </w:r>
      <w:r w:rsidRPr="00DE159B">
        <w:rPr>
          <w:rFonts w:ascii="Times New Roman" w:hAnsi="Times New Roman"/>
          <w:sz w:val="24"/>
          <w:szCs w:val="24"/>
        </w:rPr>
        <w:t xml:space="preserve"> “</w:t>
      </w:r>
      <w:r w:rsidRPr="00F90386">
        <w:rPr>
          <w:rFonts w:ascii="Times New Roman" w:hAnsi="Times New Roman"/>
          <w:sz w:val="24"/>
          <w:szCs w:val="24"/>
        </w:rPr>
        <w:t>Özel Hususlar</w:t>
      </w:r>
      <w:r>
        <w:rPr>
          <w:rFonts w:ascii="Times New Roman" w:hAnsi="Times New Roman"/>
          <w:sz w:val="24"/>
          <w:szCs w:val="24"/>
        </w:rPr>
        <w:t>-</w:t>
      </w:r>
      <w:r w:rsidRPr="00F90386">
        <w:rPr>
          <w:rFonts w:ascii="Times New Roman" w:hAnsi="Times New Roman"/>
          <w:sz w:val="24"/>
          <w:szCs w:val="24"/>
        </w:rPr>
        <w:t xml:space="preserve">Tek Bir Finansal Tablonun Bağımsız Denetimi </w:t>
      </w:r>
      <w:r>
        <w:rPr>
          <w:rFonts w:ascii="Times New Roman" w:hAnsi="Times New Roman"/>
          <w:sz w:val="24"/>
          <w:szCs w:val="24"/>
        </w:rPr>
        <w:t>i</w:t>
      </w:r>
      <w:r w:rsidRPr="00F90386">
        <w:rPr>
          <w:rFonts w:ascii="Times New Roman" w:hAnsi="Times New Roman"/>
          <w:sz w:val="24"/>
          <w:szCs w:val="24"/>
        </w:rPr>
        <w:t xml:space="preserve">le Finansal Tablolardaki Belirli Unsurların, Hesapların </w:t>
      </w:r>
      <w:r>
        <w:rPr>
          <w:rFonts w:ascii="Times New Roman" w:hAnsi="Times New Roman"/>
          <w:sz w:val="24"/>
          <w:szCs w:val="24"/>
        </w:rPr>
        <w:t>v</w:t>
      </w:r>
      <w:r w:rsidRPr="00F90386">
        <w:rPr>
          <w:rFonts w:ascii="Times New Roman" w:hAnsi="Times New Roman"/>
          <w:sz w:val="24"/>
          <w:szCs w:val="24"/>
        </w:rPr>
        <w:t>eya Kalemlerin Bağımsız Denetimi</w:t>
      </w:r>
      <w:r w:rsidRPr="00DE159B">
        <w:rPr>
          <w:rFonts w:ascii="Times New Roman" w:hAnsi="Times New Roman"/>
          <w:sz w:val="24"/>
          <w:szCs w:val="24"/>
        </w:rPr>
        <w:t>”, BDS 200 “Bağımsız Denetçinin Genel Amaçları ve Bağımsız Denetimin Bağımsız Denetim Standartlarına Uygun Olarak Yürütülmesi” ile birlikte dikkate alınır.</w:t>
      </w: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Default="00285C13" w:rsidP="005B4E9A">
      <w:pPr>
        <w:autoSpaceDE w:val="0"/>
        <w:autoSpaceDN w:val="0"/>
        <w:adjustRightInd w:val="0"/>
        <w:spacing w:after="120" w:line="240" w:lineRule="atLeast"/>
        <w:ind w:right="142"/>
        <w:jc w:val="both"/>
        <w:rPr>
          <w:rFonts w:ascii="Times New Roman" w:hAnsi="Times New Roman"/>
          <w:b/>
          <w:color w:val="000000"/>
          <w:sz w:val="20"/>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7"/>
          <w:szCs w:val="27"/>
        </w:rPr>
      </w:pPr>
      <w:r w:rsidRPr="00942409">
        <w:rPr>
          <w:rFonts w:ascii="Times New Roman" w:hAnsi="Times New Roman"/>
          <w:b/>
          <w:color w:val="000000"/>
          <w:sz w:val="27"/>
          <w:szCs w:val="27"/>
        </w:rPr>
        <w:t>Giriş</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Kapsam</w:t>
      </w:r>
    </w:p>
    <w:p w:rsidR="00285C13" w:rsidRPr="00F2113F"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1. </w:t>
      </w:r>
      <w:r w:rsidRPr="00942409">
        <w:rPr>
          <w:rFonts w:ascii="Times New Roman" w:hAnsi="Times New Roman"/>
          <w:sz w:val="24"/>
          <w:szCs w:val="24"/>
        </w:rPr>
        <w:tab/>
      </w:r>
      <w:r w:rsidRPr="00942409">
        <w:rPr>
          <w:rFonts w:ascii="Times New Roman" w:hAnsi="Times New Roman"/>
          <w:color w:val="000000"/>
          <w:sz w:val="24"/>
          <w:szCs w:val="24"/>
        </w:rPr>
        <w:t>100-700 numaralı gruplarda yer alan Bağımsız Denetim Standartları (BDS’ler)</w:t>
      </w:r>
      <w:r>
        <w:rPr>
          <w:rFonts w:ascii="Times New Roman" w:hAnsi="Times New Roman"/>
          <w:color w:val="000000"/>
          <w:sz w:val="24"/>
          <w:szCs w:val="24"/>
        </w:rPr>
        <w:t>,</w:t>
      </w:r>
      <w:r w:rsidRPr="00942409">
        <w:rPr>
          <w:rFonts w:ascii="Times New Roman" w:hAnsi="Times New Roman"/>
          <w:color w:val="000000"/>
          <w:sz w:val="24"/>
          <w:szCs w:val="24"/>
        </w:rPr>
        <w:t xml:space="preserve"> finansal tabloların denetiminde uygulanmakta olup, diğer tarih</w:t>
      </w:r>
      <w:r>
        <w:rPr>
          <w:rFonts w:ascii="Times New Roman" w:hAnsi="Times New Roman"/>
          <w:color w:val="000000"/>
          <w:sz w:val="24"/>
          <w:szCs w:val="24"/>
        </w:rPr>
        <w:t>î</w:t>
      </w:r>
      <w:r w:rsidRPr="00942409">
        <w:rPr>
          <w:rFonts w:ascii="Times New Roman" w:hAnsi="Times New Roman"/>
          <w:color w:val="000000"/>
          <w:sz w:val="24"/>
          <w:szCs w:val="24"/>
        </w:rPr>
        <w:t xml:space="preserve"> finansal bilgilerin denetiminde uygulanmaları hâlinde, gerektiği</w:t>
      </w:r>
      <w:r>
        <w:rPr>
          <w:rFonts w:ascii="Times New Roman" w:hAnsi="Times New Roman"/>
          <w:color w:val="000000"/>
          <w:sz w:val="24"/>
          <w:szCs w:val="24"/>
        </w:rPr>
        <w:t>nde</w:t>
      </w:r>
      <w:r w:rsidRPr="00942409">
        <w:rPr>
          <w:rFonts w:ascii="Times New Roman" w:hAnsi="Times New Roman"/>
          <w:color w:val="000000"/>
          <w:sz w:val="24"/>
          <w:szCs w:val="24"/>
        </w:rPr>
        <w:t xml:space="preserve"> şartlar</w:t>
      </w:r>
      <w:r>
        <w:rPr>
          <w:rFonts w:ascii="Times New Roman" w:hAnsi="Times New Roman"/>
          <w:color w:val="000000"/>
          <w:sz w:val="24"/>
          <w:szCs w:val="24"/>
        </w:rPr>
        <w:t xml:space="preserve">a göre </w:t>
      </w:r>
      <w:r w:rsidRPr="00942409">
        <w:rPr>
          <w:rFonts w:ascii="Times New Roman" w:hAnsi="Times New Roman"/>
          <w:color w:val="000000"/>
          <w:sz w:val="24"/>
          <w:szCs w:val="24"/>
        </w:rPr>
        <w:t xml:space="preserve">uyarlanır. Bu BDS ise, tek bir finansal tablonun veya finansal tablodaki belirli bir unsurun, hesabın veya kalemin denetiminde, BDS’lerin uygulanmasıyla ilgili özel hususları ele almaktadır. Tek bir finansal tablo veya finansal tablodaki belirli bir unsur, hesap veya kalem; genel veya özel amaçlı bir </w:t>
      </w:r>
      <w:r w:rsidRPr="00295CA1">
        <w:rPr>
          <w:rFonts w:ascii="Times New Roman" w:hAnsi="Times New Roman"/>
          <w:color w:val="000000"/>
          <w:sz w:val="24"/>
          <w:szCs w:val="24"/>
        </w:rPr>
        <w:t>çerçeveye uygun olarak hazırlanabilir. Tek bir finansal tablonun veya finansal tablo</w:t>
      </w:r>
      <w:r w:rsidRPr="009E0269">
        <w:rPr>
          <w:rFonts w:ascii="Times New Roman" w:hAnsi="Times New Roman"/>
          <w:color w:val="000000"/>
          <w:sz w:val="24"/>
          <w:szCs w:val="24"/>
        </w:rPr>
        <w:t>d</w:t>
      </w:r>
      <w:r w:rsidRPr="00295CA1">
        <w:rPr>
          <w:rFonts w:ascii="Times New Roman" w:hAnsi="Times New Roman"/>
          <w:color w:val="000000"/>
          <w:sz w:val="24"/>
          <w:szCs w:val="24"/>
        </w:rPr>
        <w:t xml:space="preserve">aki belirli bir unsur, hesap veya kalemin özel amaçlı </w:t>
      </w:r>
      <w:r w:rsidRPr="009E0269">
        <w:rPr>
          <w:rFonts w:ascii="Times New Roman" w:hAnsi="Times New Roman"/>
          <w:color w:val="000000"/>
          <w:sz w:val="24"/>
          <w:szCs w:val="24"/>
        </w:rPr>
        <w:t xml:space="preserve">bir </w:t>
      </w:r>
      <w:r w:rsidRPr="00295CA1">
        <w:rPr>
          <w:rFonts w:ascii="Times New Roman" w:hAnsi="Times New Roman"/>
          <w:color w:val="000000"/>
          <w:sz w:val="24"/>
          <w:szCs w:val="24"/>
        </w:rPr>
        <w:t>çerçeve</w:t>
      </w:r>
      <w:r w:rsidRPr="009E0269">
        <w:rPr>
          <w:rFonts w:ascii="Times New Roman" w:hAnsi="Times New Roman"/>
          <w:color w:val="000000"/>
          <w:sz w:val="24"/>
          <w:szCs w:val="24"/>
        </w:rPr>
        <w:t>ye uygun olarak</w:t>
      </w:r>
      <w:r w:rsidRPr="00295CA1">
        <w:rPr>
          <w:rFonts w:ascii="Times New Roman" w:hAnsi="Times New Roman"/>
          <w:color w:val="000000"/>
          <w:sz w:val="24"/>
          <w:szCs w:val="24"/>
        </w:rPr>
        <w:t xml:space="preserve"> hazırlanmış olması hâlinde, söz konusu denetimde BDS 800</w:t>
      </w:r>
      <w:r w:rsidRPr="00295CA1">
        <w:rPr>
          <w:rStyle w:val="FootnoteReference"/>
          <w:rFonts w:ascii="Times New Roman" w:hAnsi="Times New Roman"/>
          <w:color w:val="000000"/>
          <w:sz w:val="24"/>
          <w:szCs w:val="24"/>
        </w:rPr>
        <w:footnoteReference w:id="1"/>
      </w:r>
      <w:r w:rsidRPr="00295CA1">
        <w:rPr>
          <w:rFonts w:ascii="Times New Roman" w:hAnsi="Times New Roman"/>
          <w:color w:val="000000"/>
          <w:sz w:val="24"/>
          <w:szCs w:val="24"/>
        </w:rPr>
        <w:t xml:space="preserve"> de uygulanır (Bakınız: A1-A4 paragrafları).</w:t>
      </w:r>
      <w:r w:rsidRPr="00F2113F">
        <w:rPr>
          <w:rFonts w:ascii="Times New Roman" w:hAnsi="Times New Roman"/>
          <w:color w:val="000000"/>
          <w:sz w:val="24"/>
          <w:szCs w:val="24"/>
        </w:rPr>
        <w:t xml:space="preserve"> </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F2113F">
        <w:rPr>
          <w:rFonts w:ascii="Times New Roman" w:hAnsi="Times New Roman"/>
          <w:color w:val="000000"/>
          <w:sz w:val="24"/>
          <w:szCs w:val="24"/>
        </w:rPr>
        <w:t xml:space="preserve">2. </w:t>
      </w:r>
      <w:r w:rsidRPr="00F2113F">
        <w:rPr>
          <w:rFonts w:ascii="Times New Roman" w:hAnsi="Times New Roman"/>
          <w:sz w:val="24"/>
          <w:szCs w:val="24"/>
        </w:rPr>
        <w:tab/>
      </w:r>
      <w:r w:rsidRPr="00F2113F">
        <w:rPr>
          <w:rFonts w:ascii="Times New Roman" w:hAnsi="Times New Roman"/>
          <w:color w:val="000000"/>
          <w:sz w:val="24"/>
          <w:szCs w:val="24"/>
        </w:rPr>
        <w:t xml:space="preserve">Bu BDS, </w:t>
      </w:r>
      <w:r w:rsidRPr="009E0269">
        <w:rPr>
          <w:rFonts w:ascii="Times New Roman" w:hAnsi="Times New Roman"/>
          <w:color w:val="000000"/>
          <w:sz w:val="24"/>
          <w:szCs w:val="24"/>
        </w:rPr>
        <w:t>(</w:t>
      </w:r>
      <w:r w:rsidRPr="00F2113F">
        <w:rPr>
          <w:rFonts w:ascii="Times New Roman" w:hAnsi="Times New Roman"/>
          <w:color w:val="000000"/>
          <w:sz w:val="24"/>
          <w:szCs w:val="24"/>
        </w:rPr>
        <w:t>topluluk finansal tablolarının denetiminin amaçları doğrultusunda</w:t>
      </w:r>
      <w:r>
        <w:rPr>
          <w:rFonts w:ascii="Times New Roman" w:hAnsi="Times New Roman"/>
          <w:color w:val="000000"/>
          <w:sz w:val="24"/>
          <w:szCs w:val="24"/>
        </w:rPr>
        <w:t>,</w:t>
      </w:r>
      <w:r w:rsidRPr="00F2113F">
        <w:rPr>
          <w:rFonts w:ascii="Times New Roman" w:hAnsi="Times New Roman"/>
          <w:color w:val="000000"/>
          <w:sz w:val="24"/>
          <w:szCs w:val="24"/>
        </w:rPr>
        <w:t xml:space="preserve"> topluluk denetim ekibinin talebi üzerine topluluğa bağlı birimin finansal bilgilerine ilişkin olarak yürütülen çalışmanın sonucunda </w:t>
      </w:r>
      <w:r w:rsidRPr="009E0269">
        <w:rPr>
          <w:rFonts w:ascii="Times New Roman" w:hAnsi="Times New Roman"/>
          <w:color w:val="000000"/>
          <w:sz w:val="24"/>
          <w:szCs w:val="24"/>
        </w:rPr>
        <w:t>düzenlenen)</w:t>
      </w:r>
      <w:r w:rsidRPr="00F2113F">
        <w:rPr>
          <w:rFonts w:ascii="Times New Roman" w:hAnsi="Times New Roman"/>
          <w:color w:val="000000"/>
          <w:sz w:val="24"/>
          <w:szCs w:val="24"/>
        </w:rPr>
        <w:t xml:space="preserve"> topluluğa bağlı birim denetçisinin raporuna uygulanmaz  (Bakınız: BDS 600</w:t>
      </w:r>
      <w:r w:rsidRPr="00F2113F">
        <w:rPr>
          <w:rStyle w:val="FootnoteReference"/>
          <w:rFonts w:ascii="Times New Roman" w:hAnsi="Times New Roman"/>
          <w:color w:val="000000"/>
          <w:sz w:val="24"/>
          <w:szCs w:val="24"/>
        </w:rPr>
        <w:footnoteReference w:id="2"/>
      </w:r>
      <w:r w:rsidRPr="00F2113F">
        <w:rPr>
          <w:rFonts w:ascii="Times New Roman" w:hAnsi="Times New Roman"/>
          <w:color w:val="000000"/>
          <w:sz w:val="24"/>
          <w:szCs w:val="24"/>
        </w:rPr>
        <w:t>).</w:t>
      </w:r>
    </w:p>
    <w:p w:rsidR="00285C13" w:rsidRPr="00942409" w:rsidRDefault="00285C13" w:rsidP="009E0269">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3. </w:t>
      </w:r>
      <w:r w:rsidRPr="00942409">
        <w:rPr>
          <w:rFonts w:ascii="Times New Roman" w:hAnsi="Times New Roman"/>
          <w:sz w:val="24"/>
          <w:szCs w:val="24"/>
        </w:rPr>
        <w:tab/>
        <w:t xml:space="preserve">Bu BDS, diğer BDS’lerde yer alan </w:t>
      </w:r>
      <w:r w:rsidRPr="00EF1E02">
        <w:rPr>
          <w:rFonts w:ascii="Times New Roman" w:hAnsi="Times New Roman"/>
          <w:sz w:val="24"/>
          <w:szCs w:val="24"/>
        </w:rPr>
        <w:t xml:space="preserve">hükümleri </w:t>
      </w:r>
      <w:r w:rsidRPr="009E0269">
        <w:rPr>
          <w:rFonts w:ascii="Times New Roman" w:hAnsi="Times New Roman"/>
          <w:sz w:val="24"/>
          <w:szCs w:val="24"/>
        </w:rPr>
        <w:t>geçersiz kılmadığı gibi, denetimin</w:t>
      </w:r>
      <w:r w:rsidRPr="00942409">
        <w:rPr>
          <w:rFonts w:ascii="Times New Roman" w:hAnsi="Times New Roman"/>
          <w:sz w:val="24"/>
          <w:szCs w:val="24"/>
        </w:rPr>
        <w:t xml:space="preserve"> içinde bulunduğu şartlarla ilgili olabilecek tüm özel hususları </w:t>
      </w:r>
      <w:r>
        <w:rPr>
          <w:rFonts w:ascii="Times New Roman" w:hAnsi="Times New Roman"/>
          <w:sz w:val="24"/>
          <w:szCs w:val="24"/>
        </w:rPr>
        <w:t xml:space="preserve">da </w:t>
      </w:r>
      <w:r w:rsidRPr="00942409">
        <w:rPr>
          <w:rFonts w:ascii="Times New Roman" w:hAnsi="Times New Roman"/>
          <w:sz w:val="24"/>
          <w:szCs w:val="24"/>
        </w:rPr>
        <w:t>ele alma</w:t>
      </w:r>
      <w:r>
        <w:rPr>
          <w:rFonts w:ascii="Times New Roman" w:hAnsi="Times New Roman"/>
          <w:sz w:val="24"/>
          <w:szCs w:val="24"/>
        </w:rPr>
        <w:t>maktadır.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Yürürlük Tarihi</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4. </w:t>
      </w:r>
      <w:r w:rsidRPr="00942409">
        <w:rPr>
          <w:rFonts w:ascii="Times New Roman" w:hAnsi="Times New Roman"/>
          <w:sz w:val="24"/>
          <w:szCs w:val="24"/>
        </w:rPr>
        <w:tab/>
        <w:t>Bu BDS, 1/1/2013 tarihinde ve sonrasında başlayacak hesap dönemlerinden itibaren uygulanmak üzere yayımı tarihinde yürürlüğe girer.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7"/>
          <w:szCs w:val="27"/>
        </w:rPr>
      </w:pPr>
      <w:r w:rsidRPr="00942409">
        <w:rPr>
          <w:rFonts w:ascii="Times New Roman" w:hAnsi="Times New Roman"/>
          <w:b/>
          <w:color w:val="000000"/>
          <w:sz w:val="27"/>
          <w:szCs w:val="27"/>
        </w:rPr>
        <w:t>Amaç</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5. </w:t>
      </w:r>
      <w:r w:rsidRPr="00942409">
        <w:rPr>
          <w:rFonts w:ascii="Times New Roman" w:hAnsi="Times New Roman"/>
          <w:sz w:val="24"/>
          <w:szCs w:val="24"/>
        </w:rPr>
        <w:tab/>
      </w:r>
      <w:r>
        <w:rPr>
          <w:rFonts w:ascii="Times New Roman" w:hAnsi="Times New Roman"/>
          <w:color w:val="000000"/>
          <w:sz w:val="24"/>
          <w:szCs w:val="24"/>
        </w:rPr>
        <w:t>T</w:t>
      </w:r>
      <w:r w:rsidRPr="00942409">
        <w:rPr>
          <w:rFonts w:ascii="Times New Roman" w:hAnsi="Times New Roman"/>
          <w:color w:val="000000"/>
          <w:sz w:val="24"/>
          <w:szCs w:val="24"/>
        </w:rPr>
        <w:t xml:space="preserve">ek bir finansal tablonun veya finansal tablodaki belirli </w:t>
      </w:r>
      <w:r>
        <w:rPr>
          <w:rFonts w:ascii="Times New Roman" w:hAnsi="Times New Roman"/>
          <w:color w:val="000000"/>
          <w:sz w:val="24"/>
          <w:szCs w:val="24"/>
        </w:rPr>
        <w:t xml:space="preserve">bir </w:t>
      </w:r>
      <w:r w:rsidRPr="00942409">
        <w:rPr>
          <w:rFonts w:ascii="Times New Roman" w:hAnsi="Times New Roman"/>
          <w:color w:val="000000"/>
          <w:sz w:val="24"/>
          <w:szCs w:val="24"/>
        </w:rPr>
        <w:t>unsur, hesap veya kalemin denetiminde B</w:t>
      </w:r>
      <w:r>
        <w:rPr>
          <w:rFonts w:ascii="Times New Roman" w:hAnsi="Times New Roman"/>
          <w:color w:val="000000"/>
          <w:sz w:val="24"/>
          <w:szCs w:val="24"/>
        </w:rPr>
        <w:t>DS’leri</w:t>
      </w:r>
      <w:r w:rsidRPr="00942409">
        <w:rPr>
          <w:rFonts w:ascii="Times New Roman" w:hAnsi="Times New Roman"/>
          <w:color w:val="000000"/>
          <w:sz w:val="24"/>
          <w:szCs w:val="24"/>
        </w:rPr>
        <w:t xml:space="preserve"> uygularken denetçinin amacı</w:t>
      </w:r>
      <w:r>
        <w:rPr>
          <w:rFonts w:ascii="Times New Roman" w:hAnsi="Times New Roman"/>
          <w:color w:val="000000"/>
          <w:sz w:val="24"/>
          <w:szCs w:val="24"/>
        </w:rPr>
        <w:t>;</w:t>
      </w:r>
    </w:p>
    <w:p w:rsidR="00285C13" w:rsidRPr="00942409" w:rsidRDefault="00285C13">
      <w:pPr>
        <w:pStyle w:val="ListParagraph"/>
        <w:numPr>
          <w:ilvl w:val="0"/>
          <w:numId w:val="1"/>
        </w:numPr>
        <w:spacing w:before="120" w:after="120" w:line="276" w:lineRule="auto"/>
        <w:ind w:left="1425" w:right="142" w:hanging="716"/>
        <w:contextualSpacing w:val="0"/>
        <w:jc w:val="both"/>
        <w:rPr>
          <w:rFonts w:ascii="Times New Roman" w:hAnsi="Times New Roman"/>
          <w:color w:val="000000"/>
          <w:sz w:val="24"/>
          <w:szCs w:val="24"/>
        </w:rPr>
      </w:pPr>
      <w:r w:rsidRPr="00942409">
        <w:rPr>
          <w:rFonts w:ascii="Times New Roman" w:hAnsi="Times New Roman"/>
          <w:color w:val="000000"/>
          <w:sz w:val="24"/>
          <w:szCs w:val="24"/>
        </w:rPr>
        <w:t>Denetim</w:t>
      </w:r>
      <w:r>
        <w:rPr>
          <w:rFonts w:ascii="Times New Roman" w:hAnsi="Times New Roman"/>
          <w:color w:val="000000"/>
          <w:sz w:val="24"/>
          <w:szCs w:val="24"/>
        </w:rPr>
        <w:t xml:space="preserve">in </w:t>
      </w:r>
      <w:r w:rsidRPr="00942409">
        <w:rPr>
          <w:rFonts w:ascii="Times New Roman" w:hAnsi="Times New Roman"/>
          <w:color w:val="000000"/>
          <w:sz w:val="24"/>
          <w:szCs w:val="24"/>
        </w:rPr>
        <w:t>kabulü</w:t>
      </w:r>
      <w:r>
        <w:rPr>
          <w:rFonts w:ascii="Times New Roman" w:hAnsi="Times New Roman"/>
          <w:color w:val="000000"/>
          <w:sz w:val="24"/>
          <w:szCs w:val="24"/>
        </w:rPr>
        <w:t>yle</w:t>
      </w:r>
      <w:r w:rsidRPr="00942409">
        <w:rPr>
          <w:rFonts w:ascii="Times New Roman" w:hAnsi="Times New Roman"/>
          <w:color w:val="000000"/>
          <w:sz w:val="24"/>
          <w:szCs w:val="24"/>
        </w:rPr>
        <w:t>,</w:t>
      </w:r>
    </w:p>
    <w:p w:rsidR="00285C13" w:rsidRPr="00942409" w:rsidRDefault="00285C13">
      <w:pPr>
        <w:pStyle w:val="ListParagraph"/>
        <w:numPr>
          <w:ilvl w:val="0"/>
          <w:numId w:val="1"/>
        </w:numPr>
        <w:spacing w:before="120" w:after="120" w:line="276" w:lineRule="auto"/>
        <w:ind w:left="1425" w:right="142" w:hanging="716"/>
        <w:contextualSpacing w:val="0"/>
        <w:jc w:val="both"/>
        <w:rPr>
          <w:rFonts w:ascii="Times New Roman" w:hAnsi="Times New Roman"/>
          <w:color w:val="000000"/>
          <w:sz w:val="24"/>
          <w:szCs w:val="24"/>
        </w:rPr>
      </w:pPr>
      <w:r>
        <w:rPr>
          <w:rFonts w:ascii="Times New Roman" w:hAnsi="Times New Roman"/>
          <w:color w:val="000000"/>
          <w:sz w:val="24"/>
          <w:szCs w:val="24"/>
        </w:rPr>
        <w:t>Söz konusu d</w:t>
      </w:r>
      <w:r w:rsidRPr="00942409">
        <w:rPr>
          <w:rFonts w:ascii="Times New Roman" w:hAnsi="Times New Roman"/>
          <w:color w:val="000000"/>
          <w:sz w:val="24"/>
          <w:szCs w:val="24"/>
        </w:rPr>
        <w:t>enetimin planlanması ve yürütülmesi</w:t>
      </w:r>
      <w:r>
        <w:rPr>
          <w:rFonts w:ascii="Times New Roman" w:hAnsi="Times New Roman"/>
          <w:color w:val="000000"/>
          <w:sz w:val="24"/>
          <w:szCs w:val="24"/>
        </w:rPr>
        <w:t>yle ve</w:t>
      </w:r>
    </w:p>
    <w:p w:rsidR="00285C13" w:rsidRPr="00942409" w:rsidRDefault="00285C13">
      <w:pPr>
        <w:pStyle w:val="ListParagraph"/>
        <w:numPr>
          <w:ilvl w:val="0"/>
          <w:numId w:val="1"/>
        </w:numPr>
        <w:spacing w:before="120" w:after="120" w:line="276" w:lineRule="auto"/>
        <w:ind w:left="1425" w:right="142" w:hanging="716"/>
        <w:contextualSpacing w:val="0"/>
        <w:jc w:val="both"/>
        <w:rPr>
          <w:rFonts w:ascii="Times New Roman" w:hAnsi="Times New Roman"/>
          <w:color w:val="000000"/>
          <w:sz w:val="24"/>
          <w:szCs w:val="24"/>
        </w:rPr>
      </w:pPr>
      <w:r w:rsidRPr="00942409">
        <w:rPr>
          <w:rFonts w:ascii="Times New Roman" w:hAnsi="Times New Roman"/>
          <w:color w:val="000000"/>
          <w:sz w:val="24"/>
          <w:szCs w:val="24"/>
        </w:rPr>
        <w:t>Tek bir finansal tabloya veya finansal tablodaki belirli bir unsur, hesa</w:t>
      </w:r>
      <w:r>
        <w:rPr>
          <w:rFonts w:ascii="Times New Roman" w:hAnsi="Times New Roman"/>
          <w:color w:val="000000"/>
          <w:sz w:val="24"/>
          <w:szCs w:val="24"/>
        </w:rPr>
        <w:t>p</w:t>
      </w:r>
      <w:r w:rsidRPr="00942409">
        <w:rPr>
          <w:rFonts w:ascii="Times New Roman" w:hAnsi="Times New Roman"/>
          <w:color w:val="000000"/>
          <w:sz w:val="24"/>
          <w:szCs w:val="24"/>
        </w:rPr>
        <w:t xml:space="preserve"> veya kaleme ilişkin görüş oluştur</w:t>
      </w:r>
      <w:r>
        <w:rPr>
          <w:rFonts w:ascii="Times New Roman" w:hAnsi="Times New Roman"/>
          <w:color w:val="000000"/>
          <w:sz w:val="24"/>
          <w:szCs w:val="24"/>
        </w:rPr>
        <w:t>ma</w:t>
      </w:r>
      <w:r w:rsidRPr="00942409">
        <w:rPr>
          <w:rFonts w:ascii="Times New Roman" w:hAnsi="Times New Roman"/>
          <w:color w:val="000000"/>
          <w:sz w:val="24"/>
          <w:szCs w:val="24"/>
        </w:rPr>
        <w:t xml:space="preserve"> ve raporlama</w:t>
      </w:r>
      <w:r>
        <w:rPr>
          <w:rFonts w:ascii="Times New Roman" w:hAnsi="Times New Roman"/>
          <w:color w:val="000000"/>
          <w:sz w:val="24"/>
          <w:szCs w:val="24"/>
        </w:rPr>
        <w:t>yla</w:t>
      </w:r>
    </w:p>
    <w:p w:rsidR="00285C13" w:rsidRPr="00942409" w:rsidRDefault="00285C13">
      <w:pPr>
        <w:spacing w:before="120" w:after="120" w:line="276" w:lineRule="auto"/>
        <w:ind w:left="709" w:right="142"/>
        <w:jc w:val="both"/>
        <w:rPr>
          <w:rFonts w:ascii="Times New Roman" w:hAnsi="Times New Roman"/>
          <w:color w:val="000000"/>
          <w:sz w:val="24"/>
          <w:szCs w:val="24"/>
        </w:rPr>
      </w:pPr>
      <w:r w:rsidRPr="00942409">
        <w:rPr>
          <w:rFonts w:ascii="Times New Roman" w:hAnsi="Times New Roman"/>
          <w:color w:val="000000"/>
          <w:sz w:val="24"/>
          <w:szCs w:val="24"/>
        </w:rPr>
        <w:t>ilgili özel hususları uygun bi</w:t>
      </w:r>
      <w:r>
        <w:rPr>
          <w:rFonts w:ascii="Times New Roman" w:hAnsi="Times New Roman"/>
          <w:color w:val="000000"/>
          <w:sz w:val="24"/>
          <w:szCs w:val="24"/>
        </w:rPr>
        <w:t xml:space="preserve">çimde </w:t>
      </w:r>
      <w:r w:rsidRPr="00942409">
        <w:rPr>
          <w:rFonts w:ascii="Times New Roman" w:hAnsi="Times New Roman"/>
          <w:color w:val="000000"/>
          <w:sz w:val="24"/>
          <w:szCs w:val="24"/>
        </w:rPr>
        <w:t>ele almaktır.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7"/>
          <w:szCs w:val="27"/>
        </w:rPr>
      </w:pPr>
      <w:r w:rsidRPr="00942409">
        <w:rPr>
          <w:rFonts w:ascii="Times New Roman" w:hAnsi="Times New Roman"/>
          <w:b/>
          <w:color w:val="000000"/>
          <w:sz w:val="27"/>
          <w:szCs w:val="27"/>
        </w:rPr>
        <w:t>Tanımlar</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6. </w:t>
      </w:r>
      <w:r w:rsidRPr="00942409">
        <w:rPr>
          <w:rFonts w:ascii="Times New Roman" w:hAnsi="Times New Roman"/>
          <w:sz w:val="24"/>
          <w:szCs w:val="24"/>
        </w:rPr>
        <w:tab/>
        <w:t>Bu BDS’de:</w:t>
      </w:r>
    </w:p>
    <w:p w:rsidR="00285C13" w:rsidRPr="00942409" w:rsidRDefault="00285C13" w:rsidP="009E0269">
      <w:pPr>
        <w:pStyle w:val="ListParagraph"/>
        <w:numPr>
          <w:ilvl w:val="0"/>
          <w:numId w:val="3"/>
        </w:numPr>
        <w:autoSpaceDE w:val="0"/>
        <w:autoSpaceDN w:val="0"/>
        <w:adjustRightInd w:val="0"/>
        <w:spacing w:before="120" w:after="120" w:line="276" w:lineRule="auto"/>
        <w:ind w:left="1418" w:right="142" w:hanging="709"/>
        <w:contextualSpacing w:val="0"/>
        <w:jc w:val="both"/>
        <w:rPr>
          <w:rFonts w:ascii="Times New Roman" w:hAnsi="Times New Roman"/>
          <w:color w:val="000000"/>
          <w:sz w:val="24"/>
          <w:szCs w:val="24"/>
        </w:rPr>
      </w:pPr>
      <w:r w:rsidRPr="00942409">
        <w:rPr>
          <w:rFonts w:ascii="Times New Roman" w:hAnsi="Times New Roman"/>
          <w:color w:val="000000"/>
          <w:sz w:val="24"/>
          <w:szCs w:val="24"/>
        </w:rPr>
        <w:t>“Finansal tablodaki unsur” veya “unsur”a yapılan atıf</w:t>
      </w:r>
      <w:r>
        <w:rPr>
          <w:rFonts w:ascii="Times New Roman" w:hAnsi="Times New Roman"/>
          <w:color w:val="000000"/>
          <w:sz w:val="24"/>
          <w:szCs w:val="24"/>
        </w:rPr>
        <w:t>,</w:t>
      </w:r>
      <w:r w:rsidRPr="00942409">
        <w:rPr>
          <w:rFonts w:ascii="Times New Roman" w:hAnsi="Times New Roman"/>
          <w:color w:val="000000"/>
          <w:sz w:val="24"/>
          <w:szCs w:val="24"/>
        </w:rPr>
        <w:t xml:space="preserve"> “</w:t>
      </w:r>
      <w:r>
        <w:rPr>
          <w:rFonts w:ascii="Times New Roman" w:hAnsi="Times New Roman"/>
          <w:color w:val="000000"/>
          <w:sz w:val="24"/>
          <w:szCs w:val="24"/>
        </w:rPr>
        <w:t xml:space="preserve">bir </w:t>
      </w:r>
      <w:r w:rsidRPr="00942409">
        <w:rPr>
          <w:rFonts w:ascii="Times New Roman" w:hAnsi="Times New Roman"/>
          <w:color w:val="000000"/>
          <w:sz w:val="24"/>
          <w:szCs w:val="24"/>
        </w:rPr>
        <w:t>finansal tablodaki unsur, hesap veya kalem” i ifade eder,</w:t>
      </w:r>
    </w:p>
    <w:p w:rsidR="00285C13" w:rsidRPr="00942409" w:rsidRDefault="00285C13" w:rsidP="009E0269">
      <w:pPr>
        <w:pStyle w:val="ListParagraph"/>
        <w:numPr>
          <w:ilvl w:val="0"/>
          <w:numId w:val="3"/>
        </w:numPr>
        <w:autoSpaceDE w:val="0"/>
        <w:autoSpaceDN w:val="0"/>
        <w:adjustRightInd w:val="0"/>
        <w:spacing w:before="120" w:after="120" w:line="276" w:lineRule="auto"/>
        <w:ind w:left="1418" w:right="142" w:hanging="709"/>
        <w:contextualSpacing w:val="0"/>
        <w:jc w:val="both"/>
        <w:rPr>
          <w:rFonts w:ascii="Times New Roman" w:hAnsi="Times New Roman"/>
          <w:color w:val="000000"/>
          <w:sz w:val="24"/>
          <w:szCs w:val="24"/>
        </w:rPr>
      </w:pPr>
      <w:r w:rsidRPr="00942409">
        <w:rPr>
          <w:rFonts w:ascii="Times New Roman" w:hAnsi="Times New Roman"/>
          <w:color w:val="000000"/>
          <w:sz w:val="24"/>
          <w:szCs w:val="24"/>
        </w:rPr>
        <w:t>“Türkiye Muhasebe Standartlarına” yapılan atıf</w:t>
      </w:r>
      <w:r>
        <w:rPr>
          <w:rFonts w:ascii="Times New Roman" w:hAnsi="Times New Roman"/>
          <w:color w:val="000000"/>
          <w:sz w:val="24"/>
          <w:szCs w:val="24"/>
        </w:rPr>
        <w:t>,</w:t>
      </w:r>
      <w:r w:rsidRPr="00942409">
        <w:rPr>
          <w:rFonts w:ascii="Times New Roman" w:hAnsi="Times New Roman"/>
          <w:color w:val="000000"/>
          <w:sz w:val="24"/>
          <w:szCs w:val="24"/>
        </w:rPr>
        <w:t xml:space="preserve"> Kamu Gözetimi, Muhasebe ve Denetim Standartları Kurumunca yayımlanan Türkiye Muhasebe Standartlarını ifade eder ve</w:t>
      </w:r>
    </w:p>
    <w:p w:rsidR="00285C13" w:rsidRPr="00942409" w:rsidRDefault="00285C13" w:rsidP="009E0269">
      <w:pPr>
        <w:pStyle w:val="ListParagraph"/>
        <w:numPr>
          <w:ilvl w:val="0"/>
          <w:numId w:val="3"/>
        </w:numPr>
        <w:autoSpaceDE w:val="0"/>
        <w:autoSpaceDN w:val="0"/>
        <w:adjustRightInd w:val="0"/>
        <w:spacing w:before="120" w:after="120" w:line="276" w:lineRule="auto"/>
        <w:ind w:left="1418" w:right="142" w:hanging="709"/>
        <w:contextualSpacing w:val="0"/>
        <w:jc w:val="both"/>
        <w:rPr>
          <w:rFonts w:ascii="Times New Roman" w:hAnsi="Times New Roman"/>
          <w:color w:val="000000"/>
          <w:sz w:val="24"/>
          <w:szCs w:val="24"/>
        </w:rPr>
      </w:pPr>
      <w:r w:rsidRPr="00942409">
        <w:rPr>
          <w:rFonts w:ascii="Times New Roman" w:hAnsi="Times New Roman"/>
          <w:color w:val="000000"/>
          <w:sz w:val="24"/>
          <w:szCs w:val="24"/>
        </w:rPr>
        <w:t>Tek bir finansal tablo veya finansal tablodaki belirli bir unsur</w:t>
      </w:r>
      <w:r>
        <w:rPr>
          <w:rFonts w:ascii="Times New Roman" w:hAnsi="Times New Roman"/>
          <w:color w:val="000000"/>
          <w:sz w:val="24"/>
          <w:szCs w:val="24"/>
        </w:rPr>
        <w:t xml:space="preserve">, </w:t>
      </w:r>
      <w:r w:rsidRPr="00942409">
        <w:rPr>
          <w:rFonts w:ascii="Times New Roman" w:hAnsi="Times New Roman"/>
          <w:color w:val="000000"/>
          <w:sz w:val="24"/>
          <w:szCs w:val="24"/>
        </w:rPr>
        <w:t>ilgili dipnotları da kapsar. İlgili dipnotlar</w:t>
      </w:r>
      <w:r>
        <w:rPr>
          <w:rFonts w:ascii="Times New Roman" w:hAnsi="Times New Roman"/>
          <w:color w:val="000000"/>
          <w:sz w:val="24"/>
          <w:szCs w:val="24"/>
        </w:rPr>
        <w:t>,</w:t>
      </w:r>
      <w:r w:rsidRPr="00394E75">
        <w:rPr>
          <w:rFonts w:ascii="Times New Roman" w:hAnsi="Times New Roman"/>
          <w:color w:val="000000"/>
          <w:sz w:val="24"/>
          <w:szCs w:val="24"/>
        </w:rPr>
        <w:t xml:space="preserve"> </w:t>
      </w:r>
      <w:r w:rsidRPr="00492C5F">
        <w:rPr>
          <w:rFonts w:ascii="Times New Roman" w:hAnsi="Times New Roman"/>
          <w:color w:val="000000"/>
          <w:sz w:val="24"/>
          <w:szCs w:val="24"/>
        </w:rPr>
        <w:t xml:space="preserve">genel olarak </w:t>
      </w:r>
      <w:r w:rsidRPr="00741E53">
        <w:rPr>
          <w:rFonts w:ascii="Times New Roman" w:hAnsi="Times New Roman"/>
          <w:color w:val="000000"/>
          <w:sz w:val="24"/>
          <w:szCs w:val="24"/>
        </w:rPr>
        <w:t>önemli</w:t>
      </w:r>
      <w:r w:rsidRPr="00942409">
        <w:rPr>
          <w:rFonts w:ascii="Times New Roman" w:hAnsi="Times New Roman"/>
          <w:color w:val="000000"/>
          <w:sz w:val="24"/>
          <w:szCs w:val="24"/>
        </w:rPr>
        <w:t xml:space="preserve"> muhasebe politikalarını</w:t>
      </w:r>
      <w:r>
        <w:rPr>
          <w:rFonts w:ascii="Times New Roman" w:hAnsi="Times New Roman"/>
          <w:color w:val="000000"/>
          <w:sz w:val="24"/>
          <w:szCs w:val="24"/>
        </w:rPr>
        <w:t>n</w:t>
      </w:r>
      <w:r w:rsidRPr="00942409">
        <w:rPr>
          <w:rFonts w:ascii="Times New Roman" w:hAnsi="Times New Roman"/>
          <w:color w:val="000000"/>
          <w:sz w:val="24"/>
          <w:szCs w:val="24"/>
        </w:rPr>
        <w:t xml:space="preserve"> özet</w:t>
      </w:r>
      <w:r>
        <w:rPr>
          <w:rFonts w:ascii="Times New Roman" w:hAnsi="Times New Roman"/>
          <w:color w:val="000000"/>
          <w:sz w:val="24"/>
          <w:szCs w:val="24"/>
        </w:rPr>
        <w:t>i ile</w:t>
      </w:r>
      <w:r w:rsidRPr="00942409">
        <w:rPr>
          <w:rFonts w:ascii="Times New Roman" w:hAnsi="Times New Roman"/>
          <w:color w:val="000000"/>
          <w:sz w:val="24"/>
          <w:szCs w:val="24"/>
        </w:rPr>
        <w:t xml:space="preserve"> </w:t>
      </w:r>
      <w:r>
        <w:rPr>
          <w:rFonts w:ascii="Times New Roman" w:hAnsi="Times New Roman"/>
          <w:color w:val="000000"/>
          <w:sz w:val="24"/>
          <w:szCs w:val="24"/>
        </w:rPr>
        <w:t xml:space="preserve">söz konusu finansal tablo veya unsurla ilgili </w:t>
      </w:r>
      <w:r w:rsidRPr="00942409">
        <w:rPr>
          <w:rFonts w:ascii="Times New Roman" w:hAnsi="Times New Roman"/>
          <w:color w:val="000000"/>
          <w:sz w:val="24"/>
          <w:szCs w:val="24"/>
        </w:rPr>
        <w:t>diğer açıklayıcı notlar</w:t>
      </w:r>
      <w:r>
        <w:rPr>
          <w:rFonts w:ascii="Times New Roman" w:hAnsi="Times New Roman"/>
          <w:color w:val="000000"/>
          <w:sz w:val="24"/>
          <w:szCs w:val="24"/>
        </w:rPr>
        <w:t>dan oluşur.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7"/>
          <w:szCs w:val="27"/>
        </w:rPr>
      </w:pPr>
      <w:r w:rsidRPr="00942409">
        <w:rPr>
          <w:rFonts w:ascii="Times New Roman" w:hAnsi="Times New Roman"/>
          <w:b/>
          <w:color w:val="000000"/>
          <w:sz w:val="27"/>
          <w:szCs w:val="27"/>
        </w:rPr>
        <w:t>Ana Hükümler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Denetim</w:t>
      </w:r>
      <w:r>
        <w:rPr>
          <w:rFonts w:ascii="Times New Roman" w:hAnsi="Times New Roman"/>
          <w:b/>
          <w:color w:val="000000"/>
          <w:sz w:val="24"/>
          <w:szCs w:val="24"/>
        </w:rPr>
        <w:t>in</w:t>
      </w:r>
      <w:r w:rsidRPr="00942409">
        <w:rPr>
          <w:rFonts w:ascii="Times New Roman" w:hAnsi="Times New Roman"/>
          <w:b/>
          <w:color w:val="000000"/>
          <w:sz w:val="24"/>
          <w:szCs w:val="24"/>
        </w:rPr>
        <w:t xml:space="preserve"> Kabulüne İlişkin Hususlar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i/>
          <w:iCs/>
          <w:color w:val="000000"/>
          <w:sz w:val="24"/>
          <w:szCs w:val="24"/>
        </w:rPr>
      </w:pPr>
      <w:r w:rsidRPr="00942409">
        <w:rPr>
          <w:rFonts w:ascii="Times New Roman" w:hAnsi="Times New Roman"/>
          <w:i/>
          <w:color w:val="000000"/>
          <w:sz w:val="24"/>
          <w:szCs w:val="24"/>
        </w:rPr>
        <w:t>BDS’lerin Uygulanması</w:t>
      </w:r>
    </w:p>
    <w:p w:rsidR="00285C13" w:rsidRPr="00942409" w:rsidRDefault="00285C13">
      <w:pPr>
        <w:spacing w:before="120" w:after="120" w:line="276" w:lineRule="auto"/>
        <w:ind w:left="708" w:right="142" w:hanging="708"/>
        <w:jc w:val="both"/>
        <w:rPr>
          <w:rFonts w:ascii="Times New Roman" w:hAnsi="Times New Roman"/>
          <w:color w:val="000000"/>
          <w:sz w:val="17"/>
          <w:szCs w:val="17"/>
        </w:rPr>
      </w:pPr>
      <w:r w:rsidRPr="00942409">
        <w:rPr>
          <w:rFonts w:ascii="Times New Roman" w:hAnsi="Times New Roman"/>
          <w:color w:val="000000"/>
          <w:sz w:val="24"/>
          <w:szCs w:val="24"/>
        </w:rPr>
        <w:t xml:space="preserve">7. </w:t>
      </w:r>
      <w:r w:rsidRPr="00942409">
        <w:rPr>
          <w:rFonts w:ascii="Times New Roman" w:hAnsi="Times New Roman"/>
          <w:sz w:val="24"/>
          <w:szCs w:val="24"/>
        </w:rPr>
        <w:tab/>
      </w:r>
      <w:r w:rsidRPr="00942409">
        <w:rPr>
          <w:rFonts w:ascii="Times New Roman" w:hAnsi="Times New Roman"/>
          <w:color w:val="000000"/>
          <w:sz w:val="24"/>
          <w:szCs w:val="24"/>
        </w:rPr>
        <w:t>BDS 200, denetçinin denetimle ilgili tüm BDS’lere uymasını zorunlu kılar.</w:t>
      </w:r>
      <w:r w:rsidRPr="00942409">
        <w:rPr>
          <w:rStyle w:val="FootnoteReference"/>
          <w:rFonts w:ascii="Times New Roman" w:hAnsi="Times New Roman"/>
          <w:color w:val="000000"/>
          <w:sz w:val="24"/>
          <w:szCs w:val="24"/>
        </w:rPr>
        <w:footnoteReference w:id="3"/>
      </w:r>
      <w:r w:rsidRPr="00942409">
        <w:rPr>
          <w:rFonts w:ascii="Times New Roman" w:hAnsi="Times New Roman"/>
          <w:color w:val="000000"/>
          <w:sz w:val="24"/>
          <w:szCs w:val="24"/>
        </w:rPr>
        <w:t xml:space="preserve"> </w:t>
      </w:r>
      <w:r w:rsidRPr="0041331F">
        <w:rPr>
          <w:rFonts w:ascii="Times New Roman" w:hAnsi="Times New Roman"/>
          <w:color w:val="000000"/>
          <w:sz w:val="24"/>
          <w:szCs w:val="24"/>
        </w:rPr>
        <w:t xml:space="preserve">Tek bir finansal tabloya veya finansal tablodaki belirli bir unsura ilişkin </w:t>
      </w:r>
      <w:r>
        <w:rPr>
          <w:rFonts w:ascii="Times New Roman" w:hAnsi="Times New Roman"/>
          <w:color w:val="000000"/>
          <w:sz w:val="24"/>
          <w:szCs w:val="24"/>
        </w:rPr>
        <w:t xml:space="preserve">bir </w:t>
      </w:r>
      <w:r w:rsidRPr="0041331F">
        <w:rPr>
          <w:rFonts w:ascii="Times New Roman" w:hAnsi="Times New Roman"/>
          <w:color w:val="000000"/>
          <w:sz w:val="24"/>
          <w:szCs w:val="24"/>
        </w:rPr>
        <w:t>denetim</w:t>
      </w:r>
      <w:r>
        <w:rPr>
          <w:rFonts w:ascii="Times New Roman" w:hAnsi="Times New Roman"/>
          <w:color w:val="000000"/>
          <w:sz w:val="24"/>
          <w:szCs w:val="24"/>
        </w:rPr>
        <w:t xml:space="preserve">de </w:t>
      </w:r>
      <w:r w:rsidRPr="0041331F">
        <w:rPr>
          <w:rFonts w:ascii="Times New Roman" w:hAnsi="Times New Roman"/>
          <w:color w:val="000000"/>
          <w:sz w:val="24"/>
          <w:szCs w:val="24"/>
        </w:rPr>
        <w:t xml:space="preserve">bu hüküm, denetçinin </w:t>
      </w:r>
      <w:r>
        <w:rPr>
          <w:rFonts w:ascii="Times New Roman" w:hAnsi="Times New Roman"/>
          <w:color w:val="000000"/>
          <w:sz w:val="24"/>
          <w:szCs w:val="24"/>
        </w:rPr>
        <w:t xml:space="preserve">aynı zamanda </w:t>
      </w:r>
      <w:r w:rsidRPr="0041331F">
        <w:rPr>
          <w:rFonts w:ascii="Times New Roman" w:hAnsi="Times New Roman"/>
          <w:color w:val="000000"/>
          <w:sz w:val="24"/>
          <w:szCs w:val="24"/>
        </w:rPr>
        <w:t xml:space="preserve">işletmenin tam bir finansal tablolar setini denetlemekle </w:t>
      </w:r>
      <w:r w:rsidRPr="00394E75">
        <w:rPr>
          <w:rFonts w:ascii="Times New Roman" w:hAnsi="Times New Roman"/>
          <w:color w:val="000000"/>
          <w:sz w:val="24"/>
          <w:szCs w:val="24"/>
        </w:rPr>
        <w:t>görevli olup olmadığına</w:t>
      </w:r>
      <w:r w:rsidRPr="00492C5F">
        <w:rPr>
          <w:rFonts w:ascii="Times New Roman" w:hAnsi="Times New Roman"/>
          <w:color w:val="000000"/>
          <w:sz w:val="24"/>
          <w:szCs w:val="24"/>
        </w:rPr>
        <w:t xml:space="preserve"> bakılmaksızın</w:t>
      </w:r>
      <w:r w:rsidRPr="0041331F">
        <w:rPr>
          <w:rFonts w:ascii="Times New Roman" w:hAnsi="Times New Roman"/>
          <w:color w:val="000000"/>
          <w:sz w:val="24"/>
          <w:szCs w:val="24"/>
        </w:rPr>
        <w:t xml:space="preserve"> uygulanır.</w:t>
      </w:r>
      <w:r>
        <w:rPr>
          <w:rFonts w:ascii="Times New Roman" w:hAnsi="Times New Roman"/>
          <w:color w:val="000000"/>
          <w:sz w:val="24"/>
          <w:szCs w:val="24"/>
        </w:rPr>
        <w:t xml:space="preserve"> A</w:t>
      </w:r>
      <w:r w:rsidRPr="00CC7EC3">
        <w:rPr>
          <w:rFonts w:ascii="Times New Roman" w:hAnsi="Times New Roman"/>
          <w:color w:val="000000"/>
          <w:sz w:val="24"/>
          <w:szCs w:val="24"/>
        </w:rPr>
        <w:t>y</w:t>
      </w:r>
      <w:r>
        <w:rPr>
          <w:rFonts w:ascii="Times New Roman" w:hAnsi="Times New Roman"/>
          <w:color w:val="000000"/>
          <w:sz w:val="24"/>
          <w:szCs w:val="24"/>
        </w:rPr>
        <w:t xml:space="preserve">nı zamanda </w:t>
      </w:r>
      <w:r w:rsidRPr="0041331F">
        <w:rPr>
          <w:rFonts w:ascii="Times New Roman" w:hAnsi="Times New Roman"/>
          <w:color w:val="000000"/>
          <w:sz w:val="24"/>
          <w:szCs w:val="24"/>
        </w:rPr>
        <w:t xml:space="preserve">işletmenin tam bir finansal tablolar setini </w:t>
      </w:r>
      <w:r w:rsidRPr="00295CA1">
        <w:rPr>
          <w:rFonts w:ascii="Times New Roman" w:hAnsi="Times New Roman"/>
          <w:color w:val="000000"/>
          <w:sz w:val="24"/>
          <w:szCs w:val="24"/>
        </w:rPr>
        <w:t xml:space="preserve">denetlemekle görevli olmaması hâlinde denetçi, </w:t>
      </w:r>
      <w:r w:rsidRPr="009E0269">
        <w:rPr>
          <w:rFonts w:ascii="Times New Roman" w:hAnsi="Times New Roman"/>
          <w:color w:val="000000"/>
          <w:sz w:val="24"/>
          <w:szCs w:val="24"/>
        </w:rPr>
        <w:t>söz konusu finansal tablolar</w:t>
      </w:r>
      <w:r w:rsidRPr="00295CA1">
        <w:rPr>
          <w:rFonts w:ascii="Times New Roman" w:hAnsi="Times New Roman"/>
          <w:color w:val="000000"/>
          <w:sz w:val="24"/>
          <w:szCs w:val="24"/>
        </w:rPr>
        <w:t xml:space="preserve"> setinde </w:t>
      </w:r>
      <w:r w:rsidRPr="009E0269">
        <w:rPr>
          <w:rFonts w:ascii="Times New Roman" w:hAnsi="Times New Roman"/>
          <w:color w:val="000000"/>
          <w:sz w:val="24"/>
          <w:szCs w:val="24"/>
        </w:rPr>
        <w:t xml:space="preserve">yer alan </w:t>
      </w:r>
      <w:r w:rsidRPr="00295CA1">
        <w:rPr>
          <w:rFonts w:ascii="Times New Roman" w:hAnsi="Times New Roman"/>
          <w:color w:val="000000"/>
          <w:sz w:val="24"/>
          <w:szCs w:val="24"/>
        </w:rPr>
        <w:t>tek bir finansal tablonun veya belirli bir unsurun BDS’lere uygun olarak denetiminin mümkün olup olmadığına karar verir (Bakınız: A5-A6 paragrafları).</w:t>
      </w:r>
      <w:r w:rsidRPr="00942409">
        <w:rPr>
          <w:rFonts w:ascii="Times New Roman" w:hAnsi="Times New Roman"/>
          <w:color w:val="000000"/>
          <w:sz w:val="24"/>
          <w:szCs w:val="24"/>
        </w:rPr>
        <w:t xml:space="preserve"> </w:t>
      </w:r>
    </w:p>
    <w:p w:rsidR="00285C13" w:rsidRPr="00295CA1" w:rsidRDefault="00285C13" w:rsidP="009E0269">
      <w:pPr>
        <w:autoSpaceDE w:val="0"/>
        <w:autoSpaceDN w:val="0"/>
        <w:adjustRightInd w:val="0"/>
        <w:spacing w:before="120" w:after="120" w:line="276" w:lineRule="auto"/>
        <w:ind w:right="142"/>
        <w:jc w:val="both"/>
        <w:rPr>
          <w:rFonts w:ascii="Times New Roman" w:hAnsi="Times New Roman"/>
          <w:i/>
          <w:iCs/>
          <w:color w:val="000000"/>
          <w:sz w:val="24"/>
          <w:szCs w:val="24"/>
        </w:rPr>
      </w:pPr>
      <w:r w:rsidRPr="00295CA1">
        <w:rPr>
          <w:rFonts w:ascii="Times New Roman" w:hAnsi="Times New Roman"/>
          <w:i/>
          <w:color w:val="000000"/>
          <w:sz w:val="24"/>
          <w:szCs w:val="24"/>
        </w:rPr>
        <w:t>Finansal Raporlama Çerçevesinin Kabul Edilebilirliği</w:t>
      </w:r>
    </w:p>
    <w:p w:rsidR="00285C13" w:rsidRPr="00295CA1" w:rsidRDefault="00285C13">
      <w:pPr>
        <w:spacing w:before="120" w:after="120" w:line="276" w:lineRule="auto"/>
        <w:ind w:left="708" w:right="142" w:hanging="708"/>
        <w:jc w:val="both"/>
        <w:rPr>
          <w:rFonts w:ascii="Times New Roman" w:hAnsi="Times New Roman"/>
          <w:color w:val="000000"/>
          <w:sz w:val="24"/>
          <w:szCs w:val="24"/>
        </w:rPr>
      </w:pPr>
      <w:r w:rsidRPr="00295CA1">
        <w:rPr>
          <w:rFonts w:ascii="Times New Roman" w:hAnsi="Times New Roman"/>
          <w:color w:val="000000"/>
          <w:sz w:val="24"/>
          <w:szCs w:val="24"/>
        </w:rPr>
        <w:t xml:space="preserve">8. </w:t>
      </w:r>
      <w:r w:rsidRPr="00295CA1">
        <w:rPr>
          <w:rFonts w:ascii="Times New Roman" w:hAnsi="Times New Roman"/>
          <w:sz w:val="24"/>
          <w:szCs w:val="24"/>
        </w:rPr>
        <w:tab/>
      </w:r>
      <w:r w:rsidRPr="00295CA1">
        <w:rPr>
          <w:rFonts w:ascii="Times New Roman" w:hAnsi="Times New Roman"/>
          <w:color w:val="000000"/>
          <w:sz w:val="24"/>
          <w:szCs w:val="24"/>
        </w:rPr>
        <w:t>BDS 210, denetçinin finansal tabloların hazırlanmasında kullanılan finansal raporlama çerçevesinin kabul edilebilir olup olmadığını belirlemesini zorunlu kılar.</w:t>
      </w:r>
      <w:r w:rsidRPr="00295CA1">
        <w:rPr>
          <w:rStyle w:val="FootnoteReference"/>
          <w:rFonts w:ascii="Times New Roman" w:hAnsi="Times New Roman"/>
          <w:color w:val="000000"/>
          <w:sz w:val="24"/>
          <w:szCs w:val="24"/>
        </w:rPr>
        <w:footnoteReference w:id="4"/>
      </w:r>
      <w:r w:rsidRPr="00295CA1">
        <w:rPr>
          <w:rFonts w:ascii="Times New Roman" w:hAnsi="Times New Roman"/>
          <w:color w:val="000000"/>
          <w:sz w:val="24"/>
          <w:szCs w:val="24"/>
        </w:rPr>
        <w:t xml:space="preserve"> Tek bir finansal tablonun veya finansal tablodaki belirli bir unsur</w:t>
      </w:r>
      <w:r w:rsidRPr="009E0269">
        <w:rPr>
          <w:rFonts w:ascii="Times New Roman" w:hAnsi="Times New Roman"/>
          <w:color w:val="000000"/>
          <w:sz w:val="24"/>
          <w:szCs w:val="24"/>
        </w:rPr>
        <w:t>un denetiminde</w:t>
      </w:r>
      <w:r w:rsidRPr="00295CA1">
        <w:rPr>
          <w:rFonts w:ascii="Times New Roman" w:hAnsi="Times New Roman"/>
          <w:color w:val="000000"/>
          <w:sz w:val="24"/>
          <w:szCs w:val="24"/>
        </w:rPr>
        <w:t xml:space="preserve"> </w:t>
      </w:r>
      <w:r w:rsidRPr="009E0269">
        <w:rPr>
          <w:rFonts w:ascii="Times New Roman" w:hAnsi="Times New Roman"/>
          <w:color w:val="000000"/>
          <w:sz w:val="24"/>
          <w:szCs w:val="24"/>
        </w:rPr>
        <w:t>bu</w:t>
      </w:r>
      <w:r w:rsidRPr="00295CA1">
        <w:rPr>
          <w:rFonts w:ascii="Times New Roman" w:hAnsi="Times New Roman"/>
          <w:color w:val="000000"/>
          <w:sz w:val="24"/>
          <w:szCs w:val="24"/>
        </w:rPr>
        <w:t xml:space="preserve"> </w:t>
      </w:r>
      <w:r w:rsidRPr="009E0269">
        <w:rPr>
          <w:rFonts w:ascii="Times New Roman" w:hAnsi="Times New Roman"/>
          <w:color w:val="000000"/>
          <w:sz w:val="24"/>
          <w:szCs w:val="24"/>
        </w:rPr>
        <w:t xml:space="preserve">belirleme, söz konusu </w:t>
      </w:r>
      <w:r w:rsidRPr="00295CA1">
        <w:rPr>
          <w:rFonts w:ascii="Times New Roman" w:hAnsi="Times New Roman"/>
          <w:color w:val="000000"/>
          <w:sz w:val="24"/>
          <w:szCs w:val="24"/>
        </w:rPr>
        <w:t xml:space="preserve">finansal raporlama çerçevesinin </w:t>
      </w:r>
      <w:r w:rsidRPr="009E0269">
        <w:rPr>
          <w:rFonts w:ascii="Times New Roman" w:hAnsi="Times New Roman"/>
          <w:color w:val="000000"/>
          <w:sz w:val="24"/>
          <w:szCs w:val="24"/>
        </w:rPr>
        <w:t>kullanılmasının,</w:t>
      </w:r>
      <w:r w:rsidRPr="00295CA1">
        <w:rPr>
          <w:rFonts w:ascii="Times New Roman" w:hAnsi="Times New Roman"/>
          <w:color w:val="000000"/>
          <w:sz w:val="24"/>
          <w:szCs w:val="24"/>
        </w:rPr>
        <w:t xml:space="preserve"> hedef kullanıcıların</w:t>
      </w:r>
      <w:r w:rsidRPr="009E0269">
        <w:rPr>
          <w:rFonts w:ascii="Times New Roman" w:hAnsi="Times New Roman"/>
          <w:color w:val="000000"/>
          <w:sz w:val="24"/>
          <w:szCs w:val="24"/>
        </w:rPr>
        <w:t xml:space="preserve">; </w:t>
      </w:r>
    </w:p>
    <w:p w:rsidR="00285C13" w:rsidRPr="00295CA1" w:rsidRDefault="00285C13">
      <w:pPr>
        <w:spacing w:before="120" w:after="120" w:line="276" w:lineRule="auto"/>
        <w:ind w:left="708" w:right="142"/>
        <w:jc w:val="both"/>
        <w:rPr>
          <w:rFonts w:ascii="Times New Roman" w:hAnsi="Times New Roman"/>
          <w:color w:val="000000"/>
          <w:sz w:val="24"/>
          <w:szCs w:val="24"/>
        </w:rPr>
      </w:pPr>
      <w:r w:rsidRPr="00295CA1">
        <w:rPr>
          <w:rFonts w:ascii="Times New Roman" w:hAnsi="Times New Roman"/>
          <w:color w:val="000000"/>
          <w:sz w:val="24"/>
          <w:szCs w:val="24"/>
        </w:rPr>
        <w:t xml:space="preserve">- </w:t>
      </w:r>
      <w:r w:rsidRPr="009E0269">
        <w:rPr>
          <w:rFonts w:ascii="Times New Roman" w:hAnsi="Times New Roman"/>
          <w:color w:val="000000"/>
          <w:sz w:val="24"/>
          <w:szCs w:val="24"/>
        </w:rPr>
        <w:tab/>
        <w:t>F</w:t>
      </w:r>
      <w:r w:rsidRPr="00295CA1">
        <w:rPr>
          <w:rFonts w:ascii="Times New Roman" w:hAnsi="Times New Roman"/>
          <w:color w:val="000000"/>
          <w:sz w:val="24"/>
          <w:szCs w:val="24"/>
        </w:rPr>
        <w:t>inansal tabloda veya unsurda aktarılan bilgileri</w:t>
      </w:r>
      <w:r w:rsidRPr="009E0269">
        <w:rPr>
          <w:rFonts w:ascii="Times New Roman" w:hAnsi="Times New Roman"/>
          <w:color w:val="000000"/>
          <w:sz w:val="24"/>
          <w:szCs w:val="24"/>
        </w:rPr>
        <w:t xml:space="preserve"> ve</w:t>
      </w:r>
    </w:p>
    <w:p w:rsidR="00285C13" w:rsidRPr="00295CA1" w:rsidRDefault="00285C13" w:rsidP="009E0269">
      <w:pPr>
        <w:spacing w:before="120" w:after="120" w:line="276" w:lineRule="auto"/>
        <w:ind w:left="1413" w:right="142" w:hanging="705"/>
        <w:jc w:val="both"/>
        <w:rPr>
          <w:rFonts w:ascii="Times New Roman" w:hAnsi="Times New Roman"/>
          <w:color w:val="000000"/>
          <w:sz w:val="24"/>
          <w:szCs w:val="24"/>
        </w:rPr>
      </w:pPr>
      <w:r w:rsidRPr="00295CA1">
        <w:rPr>
          <w:rFonts w:ascii="Times New Roman" w:hAnsi="Times New Roman"/>
          <w:color w:val="000000"/>
          <w:sz w:val="24"/>
          <w:szCs w:val="24"/>
        </w:rPr>
        <w:t xml:space="preserve">- </w:t>
      </w:r>
      <w:r w:rsidRPr="009E0269">
        <w:rPr>
          <w:rFonts w:ascii="Times New Roman" w:hAnsi="Times New Roman"/>
          <w:color w:val="000000"/>
          <w:sz w:val="24"/>
          <w:szCs w:val="24"/>
        </w:rPr>
        <w:tab/>
        <w:t xml:space="preserve">Önemli </w:t>
      </w:r>
      <w:r w:rsidRPr="00295CA1">
        <w:rPr>
          <w:rFonts w:ascii="Times New Roman" w:hAnsi="Times New Roman"/>
          <w:color w:val="000000"/>
          <w:sz w:val="24"/>
          <w:szCs w:val="24"/>
        </w:rPr>
        <w:t>işlem ve olayların</w:t>
      </w:r>
      <w:r w:rsidRPr="009E0269">
        <w:rPr>
          <w:rFonts w:ascii="Times New Roman" w:hAnsi="Times New Roman"/>
          <w:color w:val="000000"/>
          <w:sz w:val="24"/>
          <w:szCs w:val="24"/>
        </w:rPr>
        <w:t>,</w:t>
      </w:r>
      <w:r w:rsidRPr="00295CA1">
        <w:rPr>
          <w:rFonts w:ascii="Times New Roman" w:hAnsi="Times New Roman"/>
          <w:color w:val="000000"/>
          <w:sz w:val="24"/>
          <w:szCs w:val="24"/>
        </w:rPr>
        <w:t xml:space="preserve"> </w:t>
      </w:r>
      <w:r w:rsidRPr="009E0269">
        <w:rPr>
          <w:rFonts w:ascii="Times New Roman" w:hAnsi="Times New Roman"/>
          <w:color w:val="000000"/>
          <w:sz w:val="24"/>
          <w:szCs w:val="24"/>
        </w:rPr>
        <w:t xml:space="preserve">söz konusu </w:t>
      </w:r>
      <w:r w:rsidRPr="00295CA1">
        <w:rPr>
          <w:rFonts w:ascii="Times New Roman" w:hAnsi="Times New Roman"/>
          <w:color w:val="000000"/>
          <w:sz w:val="24"/>
          <w:szCs w:val="24"/>
        </w:rPr>
        <w:t>finansal tabloda veya unsurda aktarılan bilgiler üzerindeki etkilerini</w:t>
      </w:r>
    </w:p>
    <w:p w:rsidR="00285C13" w:rsidRPr="00942409" w:rsidRDefault="00285C13">
      <w:pPr>
        <w:spacing w:before="120" w:after="120" w:line="276" w:lineRule="auto"/>
        <w:ind w:left="708" w:right="142"/>
        <w:jc w:val="both"/>
        <w:rPr>
          <w:rFonts w:ascii="Times New Roman" w:hAnsi="Times New Roman"/>
          <w:color w:val="000000"/>
          <w:sz w:val="24"/>
          <w:szCs w:val="24"/>
        </w:rPr>
      </w:pPr>
      <w:r w:rsidRPr="00295CA1">
        <w:rPr>
          <w:rFonts w:ascii="Times New Roman" w:hAnsi="Times New Roman"/>
          <w:color w:val="000000"/>
          <w:sz w:val="24"/>
          <w:szCs w:val="24"/>
        </w:rPr>
        <w:t xml:space="preserve">anlayabilmelerine </w:t>
      </w:r>
      <w:r w:rsidRPr="009E0269">
        <w:rPr>
          <w:rFonts w:ascii="Times New Roman" w:hAnsi="Times New Roman"/>
          <w:color w:val="000000"/>
          <w:sz w:val="24"/>
          <w:szCs w:val="24"/>
        </w:rPr>
        <w:t>imkân tanıyacak</w:t>
      </w:r>
      <w:r w:rsidRPr="00295CA1">
        <w:rPr>
          <w:rFonts w:ascii="Times New Roman" w:hAnsi="Times New Roman"/>
          <w:color w:val="000000"/>
          <w:sz w:val="24"/>
          <w:szCs w:val="24"/>
        </w:rPr>
        <w:t xml:space="preserve"> yeterli</w:t>
      </w:r>
      <w:r w:rsidRPr="009E0269">
        <w:rPr>
          <w:rFonts w:ascii="Times New Roman" w:hAnsi="Times New Roman"/>
          <w:color w:val="000000"/>
          <w:sz w:val="24"/>
          <w:szCs w:val="24"/>
        </w:rPr>
        <w:t xml:space="preserve"> açıklamalar sağlayan bir sunumla sonuçlanıp sonuçlanmayacağını</w:t>
      </w:r>
      <w:r>
        <w:rPr>
          <w:rFonts w:ascii="Times New Roman" w:hAnsi="Times New Roman"/>
          <w:color w:val="000000"/>
          <w:sz w:val="24"/>
          <w:szCs w:val="24"/>
        </w:rPr>
        <w:t xml:space="preserve">n </w:t>
      </w:r>
      <w:r w:rsidRPr="002325E9">
        <w:rPr>
          <w:rFonts w:ascii="Times New Roman" w:hAnsi="Times New Roman"/>
          <w:color w:val="000000"/>
          <w:sz w:val="24"/>
          <w:szCs w:val="24"/>
        </w:rPr>
        <w:t>değerlendirilmesini</w:t>
      </w:r>
      <w:r w:rsidRPr="009E0269">
        <w:rPr>
          <w:rFonts w:ascii="Times New Roman" w:hAnsi="Times New Roman"/>
          <w:color w:val="000000"/>
          <w:sz w:val="24"/>
          <w:szCs w:val="24"/>
        </w:rPr>
        <w:t xml:space="preserve"> </w:t>
      </w:r>
      <w:r w:rsidRPr="00295CA1">
        <w:rPr>
          <w:rFonts w:ascii="Times New Roman" w:hAnsi="Times New Roman"/>
          <w:color w:val="000000"/>
          <w:sz w:val="24"/>
          <w:szCs w:val="24"/>
        </w:rPr>
        <w:t>içerir (Bakınız: A7 paragrafı).</w:t>
      </w:r>
    </w:p>
    <w:p w:rsidR="00285C13" w:rsidRPr="00942409" w:rsidRDefault="00285C13" w:rsidP="009E0269">
      <w:pPr>
        <w:keepNext/>
        <w:autoSpaceDE w:val="0"/>
        <w:autoSpaceDN w:val="0"/>
        <w:adjustRightInd w:val="0"/>
        <w:spacing w:before="120" w:after="120" w:line="276" w:lineRule="auto"/>
        <w:ind w:right="142"/>
        <w:jc w:val="both"/>
        <w:rPr>
          <w:rFonts w:ascii="Times New Roman" w:hAnsi="Times New Roman"/>
          <w:i/>
          <w:iCs/>
          <w:color w:val="000000"/>
          <w:sz w:val="24"/>
          <w:szCs w:val="24"/>
        </w:rPr>
      </w:pPr>
      <w:r w:rsidRPr="00942409">
        <w:rPr>
          <w:rFonts w:ascii="Times New Roman" w:hAnsi="Times New Roman"/>
          <w:i/>
          <w:color w:val="000000"/>
          <w:sz w:val="24"/>
          <w:szCs w:val="24"/>
        </w:rPr>
        <w:t>Görüşün Şekli</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9. </w:t>
      </w:r>
      <w:r w:rsidRPr="00942409">
        <w:rPr>
          <w:rFonts w:ascii="Times New Roman" w:hAnsi="Times New Roman"/>
          <w:sz w:val="24"/>
          <w:szCs w:val="24"/>
        </w:rPr>
        <w:tab/>
      </w:r>
      <w:r w:rsidRPr="00942409">
        <w:rPr>
          <w:rFonts w:ascii="Times New Roman" w:hAnsi="Times New Roman"/>
          <w:color w:val="000000"/>
          <w:sz w:val="24"/>
          <w:szCs w:val="24"/>
        </w:rPr>
        <w:t>BDS 210, denetim sözleşmesinin şartlarında, denetçi tarafından düzenlenecek raporların beklenen şek</w:t>
      </w:r>
      <w:r>
        <w:rPr>
          <w:rFonts w:ascii="Times New Roman" w:hAnsi="Times New Roman"/>
          <w:color w:val="000000"/>
          <w:sz w:val="24"/>
          <w:szCs w:val="24"/>
        </w:rPr>
        <w:t>line</w:t>
      </w:r>
      <w:r w:rsidRPr="00942409">
        <w:rPr>
          <w:rFonts w:ascii="Times New Roman" w:hAnsi="Times New Roman"/>
          <w:color w:val="000000"/>
          <w:sz w:val="24"/>
          <w:szCs w:val="24"/>
        </w:rPr>
        <w:t xml:space="preserve"> yer verilmesini zorunlu kılar.</w:t>
      </w:r>
      <w:r w:rsidRPr="00942409">
        <w:rPr>
          <w:rStyle w:val="FootnoteReference"/>
          <w:rFonts w:ascii="Times New Roman" w:hAnsi="Times New Roman"/>
          <w:color w:val="000000"/>
          <w:sz w:val="24"/>
          <w:szCs w:val="24"/>
        </w:rPr>
        <w:footnoteReference w:id="5"/>
      </w:r>
      <w:r w:rsidRPr="00942409">
        <w:rPr>
          <w:rFonts w:ascii="Times New Roman" w:hAnsi="Times New Roman"/>
          <w:color w:val="000000"/>
          <w:sz w:val="24"/>
          <w:szCs w:val="24"/>
        </w:rPr>
        <w:t xml:space="preserve"> Tek bir finansal tablonun veya finansal tablodaki belirli bir unsurun denetimi</w:t>
      </w:r>
      <w:r>
        <w:rPr>
          <w:rFonts w:ascii="Times New Roman" w:hAnsi="Times New Roman"/>
          <w:color w:val="000000"/>
          <w:sz w:val="24"/>
          <w:szCs w:val="24"/>
        </w:rPr>
        <w:t xml:space="preserve">nde </w:t>
      </w:r>
      <w:r w:rsidRPr="00942409">
        <w:rPr>
          <w:rFonts w:ascii="Times New Roman" w:hAnsi="Times New Roman"/>
          <w:color w:val="000000"/>
          <w:sz w:val="24"/>
          <w:szCs w:val="24"/>
        </w:rPr>
        <w:t xml:space="preserve">denetçi, beklenen görüş şeklinin </w:t>
      </w:r>
      <w:r>
        <w:rPr>
          <w:rFonts w:ascii="Times New Roman" w:hAnsi="Times New Roman"/>
          <w:color w:val="000000"/>
          <w:sz w:val="24"/>
          <w:szCs w:val="24"/>
        </w:rPr>
        <w:t>içinde bulunulan şartlar altında</w:t>
      </w:r>
      <w:r w:rsidRPr="00942409">
        <w:rPr>
          <w:rFonts w:ascii="Times New Roman" w:hAnsi="Times New Roman"/>
          <w:color w:val="000000"/>
          <w:sz w:val="24"/>
          <w:szCs w:val="24"/>
        </w:rPr>
        <w:t xml:space="preserve"> uygun olup olmadığını </w:t>
      </w:r>
      <w:r>
        <w:rPr>
          <w:rFonts w:ascii="Times New Roman" w:hAnsi="Times New Roman"/>
          <w:color w:val="000000"/>
          <w:sz w:val="24"/>
          <w:szCs w:val="24"/>
        </w:rPr>
        <w:t>mütalaa eder</w:t>
      </w:r>
      <w:r w:rsidRPr="00942409">
        <w:rPr>
          <w:rFonts w:ascii="Times New Roman" w:hAnsi="Times New Roman"/>
          <w:color w:val="000000"/>
          <w:sz w:val="24"/>
          <w:szCs w:val="24"/>
        </w:rPr>
        <w:t xml:space="preserve"> (Bakınız: A8-A9 paragrafları). </w:t>
      </w:r>
    </w:p>
    <w:p w:rsidR="00285C13" w:rsidRPr="00942409" w:rsidRDefault="00285C13" w:rsidP="009E0269">
      <w:pPr>
        <w:keepNext/>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Denetimin Planlanması ve Yürütülmesine İlişkin Hususlar</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10. </w:t>
      </w:r>
      <w:r w:rsidRPr="00942409">
        <w:rPr>
          <w:rFonts w:ascii="Times New Roman" w:hAnsi="Times New Roman"/>
          <w:sz w:val="24"/>
          <w:szCs w:val="24"/>
        </w:rPr>
        <w:tab/>
      </w:r>
      <w:r w:rsidRPr="00942409">
        <w:rPr>
          <w:rFonts w:ascii="Times New Roman" w:hAnsi="Times New Roman"/>
          <w:color w:val="000000"/>
          <w:sz w:val="24"/>
          <w:szCs w:val="24"/>
        </w:rPr>
        <w:t>BDS 200, BDS’lerin finansal tabloların denetlenmesine yönelik hazırlandı</w:t>
      </w:r>
      <w:r>
        <w:rPr>
          <w:rFonts w:ascii="Times New Roman" w:hAnsi="Times New Roman"/>
          <w:color w:val="000000"/>
          <w:sz w:val="24"/>
          <w:szCs w:val="24"/>
        </w:rPr>
        <w:t>ğını</w:t>
      </w:r>
      <w:r w:rsidRPr="00942409">
        <w:rPr>
          <w:rFonts w:ascii="Times New Roman" w:hAnsi="Times New Roman"/>
          <w:color w:val="000000"/>
          <w:sz w:val="24"/>
          <w:szCs w:val="24"/>
        </w:rPr>
        <w:t>; diğer tarih</w:t>
      </w:r>
      <w:r>
        <w:rPr>
          <w:rFonts w:ascii="Times New Roman" w:hAnsi="Times New Roman"/>
          <w:color w:val="000000"/>
          <w:sz w:val="24"/>
          <w:szCs w:val="24"/>
        </w:rPr>
        <w:t>î</w:t>
      </w:r>
      <w:r w:rsidRPr="00942409">
        <w:rPr>
          <w:rFonts w:ascii="Times New Roman" w:hAnsi="Times New Roman"/>
          <w:color w:val="000000"/>
          <w:sz w:val="24"/>
          <w:szCs w:val="24"/>
        </w:rPr>
        <w:t xml:space="preserve"> finansal bilgilere ilişkin denetimlerde uygulanma</w:t>
      </w:r>
      <w:r>
        <w:rPr>
          <w:rFonts w:ascii="Times New Roman" w:hAnsi="Times New Roman"/>
          <w:color w:val="000000"/>
          <w:sz w:val="24"/>
          <w:szCs w:val="24"/>
        </w:rPr>
        <w:t>ları</w:t>
      </w:r>
      <w:r w:rsidRPr="00942409">
        <w:rPr>
          <w:rFonts w:ascii="Times New Roman" w:hAnsi="Times New Roman"/>
          <w:color w:val="000000"/>
          <w:sz w:val="24"/>
          <w:szCs w:val="24"/>
        </w:rPr>
        <w:t xml:space="preserve"> hâlinde</w:t>
      </w:r>
      <w:r>
        <w:rPr>
          <w:rFonts w:ascii="Times New Roman" w:hAnsi="Times New Roman"/>
          <w:color w:val="000000"/>
          <w:sz w:val="24"/>
          <w:szCs w:val="24"/>
        </w:rPr>
        <w:t>,</w:t>
      </w:r>
      <w:r w:rsidRPr="00942409">
        <w:rPr>
          <w:rFonts w:ascii="Times New Roman" w:hAnsi="Times New Roman"/>
          <w:color w:val="000000"/>
          <w:sz w:val="24"/>
          <w:szCs w:val="24"/>
        </w:rPr>
        <w:t xml:space="preserve"> BDS’lerin gerektiğinde şartlara göre uyarlanaca</w:t>
      </w:r>
      <w:r>
        <w:rPr>
          <w:rFonts w:ascii="Times New Roman" w:hAnsi="Times New Roman"/>
          <w:color w:val="000000"/>
          <w:sz w:val="24"/>
          <w:szCs w:val="24"/>
        </w:rPr>
        <w:t>ğını</w:t>
      </w:r>
      <w:r w:rsidRPr="00942409">
        <w:rPr>
          <w:rFonts w:ascii="Times New Roman" w:hAnsi="Times New Roman"/>
          <w:color w:val="000000"/>
          <w:sz w:val="24"/>
          <w:szCs w:val="24"/>
        </w:rPr>
        <w:t xml:space="preserve"> belirtmektedir.</w:t>
      </w:r>
      <w:r w:rsidRPr="00942409">
        <w:rPr>
          <w:rStyle w:val="FootnoteReference"/>
          <w:rFonts w:ascii="Times New Roman" w:hAnsi="Times New Roman"/>
          <w:color w:val="000000"/>
          <w:sz w:val="24"/>
          <w:szCs w:val="24"/>
        </w:rPr>
        <w:footnoteReference w:id="6"/>
      </w:r>
      <w:r w:rsidRPr="00942409">
        <w:rPr>
          <w:rFonts w:ascii="Times New Roman" w:hAnsi="Times New Roman"/>
          <w:color w:val="000000"/>
          <w:sz w:val="24"/>
          <w:szCs w:val="24"/>
          <w:vertAlign w:val="superscript"/>
        </w:rPr>
        <w:t>,</w:t>
      </w:r>
      <w:r w:rsidRPr="00942409">
        <w:rPr>
          <w:rStyle w:val="FootnoteReference"/>
          <w:rFonts w:ascii="Times New Roman" w:hAnsi="Times New Roman"/>
          <w:color w:val="000000"/>
          <w:sz w:val="24"/>
          <w:szCs w:val="24"/>
        </w:rPr>
        <w:footnoteReference w:id="7"/>
      </w:r>
      <w:r w:rsidRPr="00942409">
        <w:rPr>
          <w:rFonts w:ascii="Times New Roman" w:hAnsi="Times New Roman"/>
          <w:color w:val="000000"/>
          <w:sz w:val="24"/>
          <w:szCs w:val="24"/>
        </w:rPr>
        <w:t xml:space="preserve"> Tek bir finansal tablonun veya finansal tablodaki belirli bir unsurun denetiminin planlanması ve yürütülmesinde denetçi, </w:t>
      </w:r>
      <w:r>
        <w:rPr>
          <w:rFonts w:ascii="Times New Roman" w:hAnsi="Times New Roman"/>
          <w:color w:val="000000"/>
          <w:sz w:val="24"/>
          <w:szCs w:val="24"/>
        </w:rPr>
        <w:t xml:space="preserve">denetimle </w:t>
      </w:r>
      <w:r w:rsidRPr="00942409">
        <w:rPr>
          <w:rFonts w:ascii="Times New Roman" w:hAnsi="Times New Roman"/>
          <w:color w:val="000000"/>
          <w:sz w:val="24"/>
          <w:szCs w:val="24"/>
        </w:rPr>
        <w:t>ilgili tüm BDS’leri</w:t>
      </w:r>
      <w:r>
        <w:rPr>
          <w:rFonts w:ascii="Times New Roman" w:hAnsi="Times New Roman"/>
          <w:color w:val="000000"/>
          <w:sz w:val="24"/>
          <w:szCs w:val="24"/>
        </w:rPr>
        <w:t>,</w:t>
      </w:r>
      <w:r w:rsidRPr="00942409">
        <w:rPr>
          <w:rFonts w:ascii="Times New Roman" w:hAnsi="Times New Roman"/>
          <w:color w:val="000000"/>
          <w:sz w:val="24"/>
          <w:szCs w:val="24"/>
        </w:rPr>
        <w:t xml:space="preserve"> </w:t>
      </w:r>
      <w:r>
        <w:rPr>
          <w:rFonts w:ascii="Times New Roman" w:hAnsi="Times New Roman"/>
          <w:color w:val="000000"/>
          <w:sz w:val="24"/>
          <w:szCs w:val="24"/>
        </w:rPr>
        <w:t>gerektiğinde d</w:t>
      </w:r>
      <w:r w:rsidRPr="00942409">
        <w:rPr>
          <w:rFonts w:ascii="Times New Roman" w:hAnsi="Times New Roman"/>
          <w:color w:val="000000"/>
          <w:sz w:val="24"/>
          <w:szCs w:val="24"/>
        </w:rPr>
        <w:t xml:space="preserve">enetimin </w:t>
      </w:r>
      <w:r>
        <w:rPr>
          <w:rFonts w:ascii="Times New Roman" w:hAnsi="Times New Roman"/>
          <w:color w:val="000000"/>
          <w:sz w:val="24"/>
          <w:szCs w:val="24"/>
        </w:rPr>
        <w:t xml:space="preserve">içinde bulunduğu </w:t>
      </w:r>
      <w:r w:rsidRPr="00942409">
        <w:rPr>
          <w:rFonts w:ascii="Times New Roman" w:hAnsi="Times New Roman"/>
          <w:color w:val="000000"/>
          <w:sz w:val="24"/>
          <w:szCs w:val="24"/>
        </w:rPr>
        <w:t>şartlar</w:t>
      </w:r>
      <w:r>
        <w:rPr>
          <w:rFonts w:ascii="Times New Roman" w:hAnsi="Times New Roman"/>
          <w:color w:val="000000"/>
          <w:sz w:val="24"/>
          <w:szCs w:val="24"/>
        </w:rPr>
        <w:t xml:space="preserve">a göre </w:t>
      </w:r>
      <w:r w:rsidRPr="00942409">
        <w:rPr>
          <w:rFonts w:ascii="Times New Roman" w:hAnsi="Times New Roman"/>
          <w:color w:val="000000"/>
          <w:sz w:val="24"/>
          <w:szCs w:val="24"/>
        </w:rPr>
        <w:t xml:space="preserve">uyarlar (Bakınız: A10-A14 paragrafları). </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Görüş Oluştur</w:t>
      </w:r>
      <w:r>
        <w:rPr>
          <w:rFonts w:ascii="Times New Roman" w:hAnsi="Times New Roman"/>
          <w:b/>
          <w:color w:val="000000"/>
          <w:sz w:val="24"/>
          <w:szCs w:val="24"/>
        </w:rPr>
        <w:t>ma</w:t>
      </w:r>
      <w:r w:rsidRPr="00942409">
        <w:rPr>
          <w:rFonts w:ascii="Times New Roman" w:hAnsi="Times New Roman"/>
          <w:b/>
          <w:color w:val="000000"/>
          <w:sz w:val="24"/>
          <w:szCs w:val="24"/>
        </w:rPr>
        <w:t xml:space="preserve"> ve Raporlamaya İlişkin Hususlar</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11. </w:t>
      </w:r>
      <w:r w:rsidRPr="00942409">
        <w:rPr>
          <w:rFonts w:ascii="Times New Roman" w:hAnsi="Times New Roman"/>
          <w:sz w:val="24"/>
          <w:szCs w:val="24"/>
        </w:rPr>
        <w:tab/>
      </w:r>
      <w:r w:rsidRPr="00942409">
        <w:rPr>
          <w:rFonts w:ascii="Times New Roman" w:hAnsi="Times New Roman"/>
          <w:color w:val="000000"/>
          <w:sz w:val="24"/>
          <w:szCs w:val="24"/>
        </w:rPr>
        <w:t>Tek bir finansal tabloya veya finansal tablodaki belirli bir unsura ilişkin görüş oluşturu</w:t>
      </w:r>
      <w:r>
        <w:rPr>
          <w:rFonts w:ascii="Times New Roman" w:hAnsi="Times New Roman"/>
          <w:color w:val="000000"/>
          <w:sz w:val="24"/>
          <w:szCs w:val="24"/>
        </w:rPr>
        <w:t>rken ve</w:t>
      </w:r>
      <w:r w:rsidRPr="00942409">
        <w:rPr>
          <w:rFonts w:ascii="Times New Roman" w:hAnsi="Times New Roman"/>
          <w:color w:val="000000"/>
          <w:sz w:val="24"/>
          <w:szCs w:val="24"/>
        </w:rPr>
        <w:t xml:space="preserve"> </w:t>
      </w:r>
      <w:r w:rsidRPr="00394E75">
        <w:rPr>
          <w:rFonts w:ascii="Times New Roman" w:hAnsi="Times New Roman"/>
          <w:color w:val="000000"/>
          <w:sz w:val="24"/>
          <w:szCs w:val="24"/>
        </w:rPr>
        <w:t>raporlama yaparken denetçi, B</w:t>
      </w:r>
      <w:r w:rsidRPr="00492C5F">
        <w:rPr>
          <w:rFonts w:ascii="Times New Roman" w:hAnsi="Times New Roman"/>
          <w:color w:val="000000"/>
          <w:sz w:val="24"/>
          <w:szCs w:val="24"/>
        </w:rPr>
        <w:t xml:space="preserve">DS </w:t>
      </w:r>
      <w:r w:rsidRPr="00EA10A0">
        <w:rPr>
          <w:rFonts w:ascii="Times New Roman" w:hAnsi="Times New Roman"/>
          <w:color w:val="000000"/>
          <w:sz w:val="24"/>
          <w:szCs w:val="24"/>
        </w:rPr>
        <w:t>7</w:t>
      </w:r>
      <w:r w:rsidRPr="0048243F">
        <w:rPr>
          <w:rFonts w:ascii="Times New Roman" w:hAnsi="Times New Roman"/>
          <w:color w:val="000000"/>
          <w:sz w:val="24"/>
          <w:szCs w:val="24"/>
        </w:rPr>
        <w:t>00’de</w:t>
      </w:r>
      <w:r w:rsidRPr="00394E75">
        <w:rPr>
          <w:rStyle w:val="FootnoteReference"/>
          <w:rFonts w:ascii="Times New Roman" w:hAnsi="Times New Roman"/>
          <w:color w:val="000000"/>
          <w:sz w:val="24"/>
          <w:szCs w:val="24"/>
        </w:rPr>
        <w:footnoteReference w:id="8"/>
      </w:r>
      <w:r w:rsidRPr="00394E75">
        <w:rPr>
          <w:rFonts w:ascii="Times New Roman" w:hAnsi="Times New Roman"/>
          <w:color w:val="000000"/>
          <w:sz w:val="24"/>
          <w:szCs w:val="24"/>
        </w:rPr>
        <w:t xml:space="preserve"> yer alan hükümleri</w:t>
      </w:r>
      <w:r w:rsidRPr="00492C5F">
        <w:rPr>
          <w:rFonts w:ascii="Times New Roman" w:hAnsi="Times New Roman"/>
          <w:color w:val="000000"/>
          <w:sz w:val="24"/>
          <w:szCs w:val="24"/>
        </w:rPr>
        <w:t>,</w:t>
      </w:r>
      <w:r w:rsidRPr="00EA10A0">
        <w:rPr>
          <w:rFonts w:ascii="Times New Roman" w:hAnsi="Times New Roman"/>
          <w:color w:val="000000"/>
          <w:sz w:val="24"/>
          <w:szCs w:val="24"/>
        </w:rPr>
        <w:t xml:space="preserve"> gerektiğinde denetimin</w:t>
      </w:r>
      <w:r>
        <w:rPr>
          <w:rFonts w:ascii="Times New Roman" w:hAnsi="Times New Roman"/>
          <w:color w:val="000000"/>
          <w:sz w:val="24"/>
          <w:szCs w:val="24"/>
        </w:rPr>
        <w:t xml:space="preserve"> içinde bulunduğu</w:t>
      </w:r>
      <w:r w:rsidRPr="00942409">
        <w:rPr>
          <w:rFonts w:ascii="Times New Roman" w:hAnsi="Times New Roman"/>
          <w:color w:val="000000"/>
          <w:sz w:val="24"/>
          <w:szCs w:val="24"/>
        </w:rPr>
        <w:t xml:space="preserve"> şartlar</w:t>
      </w:r>
      <w:r>
        <w:rPr>
          <w:rFonts w:ascii="Times New Roman" w:hAnsi="Times New Roman"/>
          <w:color w:val="000000"/>
          <w:sz w:val="24"/>
          <w:szCs w:val="24"/>
        </w:rPr>
        <w:t>a göre</w:t>
      </w:r>
      <w:r w:rsidRPr="00942409">
        <w:rPr>
          <w:rFonts w:ascii="Times New Roman" w:hAnsi="Times New Roman"/>
          <w:color w:val="000000"/>
          <w:sz w:val="24"/>
          <w:szCs w:val="24"/>
        </w:rPr>
        <w:t xml:space="preserve"> uyarlayarak uygular (Bakınız: A15-A16 paragrafları).</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i/>
          <w:iCs/>
          <w:color w:val="000000"/>
          <w:sz w:val="24"/>
          <w:szCs w:val="24"/>
        </w:rPr>
      </w:pPr>
      <w:r w:rsidRPr="009E0269">
        <w:rPr>
          <w:rFonts w:ascii="Times New Roman" w:hAnsi="Times New Roman"/>
          <w:i/>
          <w:color w:val="000000"/>
          <w:sz w:val="24"/>
          <w:szCs w:val="24"/>
        </w:rPr>
        <w:t xml:space="preserve">Denetlenen İşletmeye </w:t>
      </w:r>
      <w:r>
        <w:rPr>
          <w:rFonts w:ascii="Times New Roman" w:hAnsi="Times New Roman"/>
          <w:i/>
          <w:color w:val="000000"/>
          <w:sz w:val="24"/>
          <w:szCs w:val="24"/>
        </w:rPr>
        <w:t>A</w:t>
      </w:r>
      <w:r w:rsidRPr="009E0269">
        <w:rPr>
          <w:rFonts w:ascii="Times New Roman" w:hAnsi="Times New Roman"/>
          <w:i/>
          <w:color w:val="000000"/>
          <w:sz w:val="24"/>
          <w:szCs w:val="24"/>
        </w:rPr>
        <w:t xml:space="preserve">it </w:t>
      </w:r>
      <w:r w:rsidRPr="00903D19">
        <w:rPr>
          <w:rFonts w:ascii="Times New Roman" w:hAnsi="Times New Roman"/>
          <w:i/>
          <w:color w:val="000000"/>
          <w:sz w:val="24"/>
          <w:szCs w:val="24"/>
        </w:rPr>
        <w:t>Tam</w:t>
      </w:r>
      <w:r w:rsidRPr="00942409">
        <w:rPr>
          <w:rFonts w:ascii="Times New Roman" w:hAnsi="Times New Roman"/>
          <w:i/>
          <w:color w:val="000000"/>
          <w:sz w:val="24"/>
          <w:szCs w:val="24"/>
        </w:rPr>
        <w:t xml:space="preserve"> Bir Finansal Tablolar Seti</w:t>
      </w:r>
      <w:r>
        <w:rPr>
          <w:rFonts w:ascii="Times New Roman" w:hAnsi="Times New Roman"/>
          <w:i/>
          <w:color w:val="000000"/>
          <w:sz w:val="24"/>
          <w:szCs w:val="24"/>
        </w:rPr>
        <w:t xml:space="preserve"> ile Söz Konusu Finansal Tablolar Setinde Yer Alan Tek Bir </w:t>
      </w:r>
      <w:r w:rsidRPr="00942409">
        <w:rPr>
          <w:rFonts w:ascii="Times New Roman" w:hAnsi="Times New Roman"/>
          <w:i/>
          <w:color w:val="000000"/>
          <w:sz w:val="24"/>
          <w:szCs w:val="24"/>
        </w:rPr>
        <w:t>Finansal Tabloya veya Belirli Bir Unsura İlişkin Raporlama Yapılması</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12. </w:t>
      </w:r>
      <w:r w:rsidRPr="00942409">
        <w:rPr>
          <w:rFonts w:ascii="Times New Roman" w:hAnsi="Times New Roman"/>
          <w:sz w:val="24"/>
          <w:szCs w:val="24"/>
        </w:rPr>
        <w:tab/>
      </w:r>
      <w:r>
        <w:rPr>
          <w:rFonts w:ascii="Times New Roman" w:hAnsi="Times New Roman"/>
          <w:color w:val="000000"/>
          <w:sz w:val="24"/>
          <w:szCs w:val="24"/>
        </w:rPr>
        <w:t>T</w:t>
      </w:r>
      <w:r w:rsidRPr="00942409">
        <w:rPr>
          <w:rFonts w:ascii="Times New Roman" w:hAnsi="Times New Roman"/>
          <w:color w:val="000000"/>
          <w:sz w:val="24"/>
          <w:szCs w:val="24"/>
        </w:rPr>
        <w:t>am bir finansal tablolar setinin denetimiyle birlikte, tek bir finansal tablo</w:t>
      </w:r>
      <w:r>
        <w:rPr>
          <w:rFonts w:ascii="Times New Roman" w:hAnsi="Times New Roman"/>
          <w:color w:val="000000"/>
          <w:sz w:val="24"/>
          <w:szCs w:val="24"/>
        </w:rPr>
        <w:t>ya</w:t>
      </w:r>
      <w:r w:rsidRPr="00942409">
        <w:rPr>
          <w:rFonts w:ascii="Times New Roman" w:hAnsi="Times New Roman"/>
          <w:color w:val="000000"/>
          <w:sz w:val="24"/>
          <w:szCs w:val="24"/>
        </w:rPr>
        <w:t xml:space="preserve"> veya finansal tablodaki belirli bir unsur</w:t>
      </w:r>
      <w:r>
        <w:rPr>
          <w:rFonts w:ascii="Times New Roman" w:hAnsi="Times New Roman"/>
          <w:color w:val="000000"/>
          <w:sz w:val="24"/>
          <w:szCs w:val="24"/>
        </w:rPr>
        <w:t>a</w:t>
      </w:r>
      <w:r w:rsidRPr="00942409">
        <w:rPr>
          <w:rFonts w:ascii="Times New Roman" w:hAnsi="Times New Roman"/>
          <w:color w:val="000000"/>
          <w:sz w:val="24"/>
          <w:szCs w:val="24"/>
        </w:rPr>
        <w:t xml:space="preserve"> ilişkin raporlama yapma</w:t>
      </w:r>
      <w:r>
        <w:rPr>
          <w:rFonts w:ascii="Times New Roman" w:hAnsi="Times New Roman"/>
          <w:color w:val="000000"/>
          <w:sz w:val="24"/>
          <w:szCs w:val="24"/>
        </w:rPr>
        <w:t>k üzere bir denetim yürütmesi</w:t>
      </w:r>
      <w:r w:rsidRPr="00942409">
        <w:rPr>
          <w:rFonts w:ascii="Times New Roman" w:hAnsi="Times New Roman"/>
          <w:color w:val="000000"/>
          <w:sz w:val="24"/>
          <w:szCs w:val="24"/>
        </w:rPr>
        <w:t xml:space="preserve"> durumunda denetçi, her bir </w:t>
      </w:r>
      <w:r w:rsidRPr="002325E9">
        <w:rPr>
          <w:rFonts w:ascii="Times New Roman" w:hAnsi="Times New Roman"/>
          <w:color w:val="000000"/>
          <w:sz w:val="24"/>
          <w:szCs w:val="24"/>
        </w:rPr>
        <w:t xml:space="preserve">denetim için </w:t>
      </w:r>
      <w:r w:rsidRPr="00903D19">
        <w:rPr>
          <w:rFonts w:ascii="Times New Roman" w:hAnsi="Times New Roman"/>
          <w:color w:val="000000"/>
          <w:sz w:val="24"/>
          <w:szCs w:val="24"/>
        </w:rPr>
        <w:t>ayrı bir görüş verir.</w:t>
      </w:r>
    </w:p>
    <w:p w:rsidR="00285C13" w:rsidRPr="00942409" w:rsidRDefault="00285C13" w:rsidP="009E0269">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13. </w:t>
      </w:r>
      <w:r w:rsidRPr="00942409">
        <w:rPr>
          <w:rFonts w:ascii="Times New Roman" w:hAnsi="Times New Roman"/>
          <w:sz w:val="24"/>
          <w:szCs w:val="24"/>
        </w:rPr>
        <w:tab/>
      </w:r>
      <w:r w:rsidRPr="00942409">
        <w:rPr>
          <w:rFonts w:ascii="Times New Roman" w:hAnsi="Times New Roman"/>
          <w:color w:val="000000"/>
          <w:sz w:val="24"/>
          <w:szCs w:val="24"/>
        </w:rPr>
        <w:t xml:space="preserve">Denetlenmiş tek bir finansal tablo veya finansal tablodaki denetlenmiş belirli bir unsur, işletmenin denetlenmiş tam bir finansal tablolar setiyle birlikte yayımlanabilir. </w:t>
      </w:r>
      <w:r w:rsidRPr="009E0269">
        <w:rPr>
          <w:rFonts w:ascii="Times New Roman" w:hAnsi="Times New Roman"/>
          <w:color w:val="000000"/>
          <w:sz w:val="24"/>
          <w:szCs w:val="24"/>
        </w:rPr>
        <w:t>Denetçi, tek</w:t>
      </w:r>
      <w:r w:rsidRPr="00EA10A0">
        <w:rPr>
          <w:rFonts w:ascii="Times New Roman" w:hAnsi="Times New Roman"/>
          <w:color w:val="000000"/>
          <w:sz w:val="24"/>
          <w:szCs w:val="24"/>
        </w:rPr>
        <w:t xml:space="preserve"> bir finansal tablonun veya finansal tablodaki belirli bir unsurun</w:t>
      </w:r>
      <w:r w:rsidRPr="00492C5F">
        <w:rPr>
          <w:rFonts w:ascii="Times New Roman" w:hAnsi="Times New Roman"/>
          <w:color w:val="000000"/>
          <w:sz w:val="24"/>
          <w:szCs w:val="24"/>
        </w:rPr>
        <w:t xml:space="preserve"> sunumunun</w:t>
      </w:r>
      <w:r>
        <w:rPr>
          <w:rFonts w:ascii="Times New Roman" w:hAnsi="Times New Roman"/>
          <w:color w:val="000000"/>
          <w:sz w:val="24"/>
          <w:szCs w:val="24"/>
        </w:rPr>
        <w:t>;</w:t>
      </w:r>
      <w:r w:rsidRPr="00492C5F">
        <w:rPr>
          <w:rFonts w:ascii="Times New Roman" w:hAnsi="Times New Roman"/>
          <w:color w:val="000000"/>
          <w:sz w:val="24"/>
          <w:szCs w:val="24"/>
        </w:rPr>
        <w:t xml:space="preserve"> </w:t>
      </w:r>
      <w:r w:rsidRPr="009E0269">
        <w:rPr>
          <w:rFonts w:ascii="Times New Roman" w:hAnsi="Times New Roman"/>
          <w:color w:val="000000"/>
          <w:sz w:val="24"/>
          <w:szCs w:val="24"/>
        </w:rPr>
        <w:t xml:space="preserve">söz konusu finansal tablo veya unsuru, </w:t>
      </w:r>
      <w:r w:rsidRPr="00EA10A0">
        <w:rPr>
          <w:rFonts w:ascii="Times New Roman" w:hAnsi="Times New Roman"/>
          <w:color w:val="000000"/>
          <w:sz w:val="24"/>
          <w:szCs w:val="24"/>
        </w:rPr>
        <w:t>tam bir finansal tablolar setin</w:t>
      </w:r>
      <w:r w:rsidRPr="009E0269">
        <w:rPr>
          <w:rFonts w:ascii="Times New Roman" w:hAnsi="Times New Roman"/>
          <w:color w:val="000000"/>
          <w:sz w:val="24"/>
          <w:szCs w:val="24"/>
        </w:rPr>
        <w:t xml:space="preserve">den </w:t>
      </w:r>
      <w:r w:rsidRPr="00EA10A0">
        <w:rPr>
          <w:rFonts w:ascii="Times New Roman" w:hAnsi="Times New Roman"/>
          <w:color w:val="000000"/>
          <w:sz w:val="24"/>
          <w:szCs w:val="24"/>
        </w:rPr>
        <w:t xml:space="preserve">yeterli </w:t>
      </w:r>
      <w:r w:rsidRPr="00BD0796">
        <w:rPr>
          <w:rFonts w:ascii="Times New Roman" w:hAnsi="Times New Roman"/>
          <w:color w:val="000000"/>
          <w:sz w:val="24"/>
          <w:szCs w:val="24"/>
        </w:rPr>
        <w:t>biçimde ayırmadığı</w:t>
      </w:r>
      <w:r>
        <w:rPr>
          <w:rFonts w:ascii="Times New Roman" w:hAnsi="Times New Roman"/>
          <w:color w:val="000000"/>
          <w:sz w:val="24"/>
          <w:szCs w:val="24"/>
        </w:rPr>
        <w:t xml:space="preserve"> </w:t>
      </w:r>
      <w:r w:rsidRPr="002325E9">
        <w:rPr>
          <w:rFonts w:ascii="Times New Roman" w:hAnsi="Times New Roman"/>
          <w:color w:val="000000"/>
          <w:sz w:val="24"/>
          <w:szCs w:val="24"/>
        </w:rPr>
        <w:t xml:space="preserve">(bunların tam bir finansal tablolar setinden </w:t>
      </w:r>
      <w:r w:rsidRPr="00903D19">
        <w:rPr>
          <w:rFonts w:ascii="Times New Roman" w:hAnsi="Times New Roman"/>
          <w:color w:val="000000"/>
          <w:sz w:val="24"/>
          <w:szCs w:val="24"/>
        </w:rPr>
        <w:t>ayırt edilebilmesini sağlamadığı)</w:t>
      </w:r>
      <w:r w:rsidRPr="00BD0796">
        <w:rPr>
          <w:rFonts w:ascii="Times New Roman" w:hAnsi="Times New Roman"/>
          <w:color w:val="000000"/>
          <w:sz w:val="24"/>
          <w:szCs w:val="24"/>
        </w:rPr>
        <w:t xml:space="preserve"> sonucuna var</w:t>
      </w:r>
      <w:r w:rsidRPr="009E0269">
        <w:rPr>
          <w:rFonts w:ascii="Times New Roman" w:hAnsi="Times New Roman"/>
          <w:color w:val="000000"/>
          <w:sz w:val="24"/>
          <w:szCs w:val="24"/>
        </w:rPr>
        <w:t>ırsa,</w:t>
      </w:r>
      <w:r w:rsidRPr="00BD0796">
        <w:rPr>
          <w:rFonts w:ascii="Times New Roman" w:hAnsi="Times New Roman"/>
          <w:color w:val="000000"/>
          <w:sz w:val="24"/>
          <w:szCs w:val="24"/>
        </w:rPr>
        <w:t xml:space="preserve"> yönetimden bu durumu düzeltmesini talep eder. Ayrıca </w:t>
      </w:r>
      <w:r w:rsidRPr="009E0269">
        <w:rPr>
          <w:rFonts w:ascii="Times New Roman" w:hAnsi="Times New Roman"/>
          <w:color w:val="000000"/>
          <w:sz w:val="24"/>
          <w:szCs w:val="24"/>
        </w:rPr>
        <w:t xml:space="preserve">denetçi, </w:t>
      </w:r>
      <w:r w:rsidRPr="00BD0796">
        <w:rPr>
          <w:rFonts w:ascii="Times New Roman" w:hAnsi="Times New Roman"/>
          <w:color w:val="000000"/>
          <w:sz w:val="24"/>
          <w:szCs w:val="24"/>
        </w:rPr>
        <w:t>15 ve 16 ncı paragraflara uygun olarak, tek bir finansal tabloya veya finansal tablodaki belirli bir unsura ilişkin görüşünü</w:t>
      </w:r>
      <w:r>
        <w:rPr>
          <w:rFonts w:ascii="Times New Roman" w:hAnsi="Times New Roman"/>
          <w:color w:val="000000"/>
          <w:sz w:val="24"/>
          <w:szCs w:val="24"/>
        </w:rPr>
        <w:t>n</w:t>
      </w:r>
      <w:r w:rsidRPr="009E0269">
        <w:rPr>
          <w:rFonts w:ascii="Times New Roman" w:hAnsi="Times New Roman"/>
          <w:color w:val="000000"/>
          <w:sz w:val="24"/>
          <w:szCs w:val="24"/>
        </w:rPr>
        <w:t>,</w:t>
      </w:r>
      <w:r w:rsidRPr="00BD0796">
        <w:rPr>
          <w:rFonts w:ascii="Times New Roman" w:hAnsi="Times New Roman"/>
          <w:color w:val="000000"/>
          <w:sz w:val="24"/>
          <w:szCs w:val="24"/>
        </w:rPr>
        <w:t xml:space="preserve"> tam bir finansal tablolar setine ilişkin görüş</w:t>
      </w:r>
      <w:r w:rsidRPr="009E0269">
        <w:rPr>
          <w:rFonts w:ascii="Times New Roman" w:hAnsi="Times New Roman"/>
          <w:color w:val="000000"/>
          <w:sz w:val="24"/>
          <w:szCs w:val="24"/>
        </w:rPr>
        <w:t>ünden</w:t>
      </w:r>
      <w:r w:rsidRPr="00BD0796">
        <w:rPr>
          <w:rFonts w:ascii="Times New Roman" w:hAnsi="Times New Roman"/>
          <w:color w:val="000000"/>
          <w:sz w:val="24"/>
          <w:szCs w:val="24"/>
        </w:rPr>
        <w:t xml:space="preserve"> ayır</w:t>
      </w:r>
      <w:r>
        <w:rPr>
          <w:rFonts w:ascii="Times New Roman" w:hAnsi="Times New Roman"/>
          <w:color w:val="000000"/>
          <w:sz w:val="24"/>
          <w:szCs w:val="24"/>
        </w:rPr>
        <w:t>t edilebilmesini sağlar</w:t>
      </w:r>
      <w:r w:rsidRPr="00BD0796">
        <w:rPr>
          <w:rFonts w:ascii="Times New Roman" w:hAnsi="Times New Roman"/>
          <w:color w:val="000000"/>
          <w:sz w:val="24"/>
          <w:szCs w:val="24"/>
        </w:rPr>
        <w:t xml:space="preserve">. Denetçi, söz konusu ayrımdan emin olana kadar, tek bir finansal tabloya veya finansal tablodaki belirli bir unsura ilişkin görüş içeren denetçi raporunu </w:t>
      </w:r>
      <w:r w:rsidRPr="009E0269">
        <w:rPr>
          <w:rFonts w:ascii="Times New Roman" w:hAnsi="Times New Roman"/>
          <w:color w:val="000000"/>
          <w:sz w:val="24"/>
          <w:szCs w:val="24"/>
        </w:rPr>
        <w:t>düzenlemez</w:t>
      </w:r>
      <w:r w:rsidRPr="00BD0796">
        <w:rPr>
          <w:rFonts w:ascii="Times New Roman" w:hAnsi="Times New Roman"/>
          <w:color w:val="000000"/>
          <w:sz w:val="24"/>
          <w:szCs w:val="24"/>
        </w:rPr>
        <w:t>.</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 xml:space="preserve">Tam Bir Finansal Tablolar Setine İlişkin Denetçi Raporunda Yer Alan Olumlu Görüş Dışındaki </w:t>
      </w:r>
      <w:r>
        <w:rPr>
          <w:rFonts w:ascii="Times New Roman" w:hAnsi="Times New Roman"/>
          <w:color w:val="000000"/>
          <w:sz w:val="24"/>
          <w:szCs w:val="24"/>
        </w:rPr>
        <w:t xml:space="preserve">Bir </w:t>
      </w:r>
      <w:r w:rsidRPr="00942409">
        <w:rPr>
          <w:rFonts w:ascii="Times New Roman" w:hAnsi="Times New Roman"/>
          <w:color w:val="000000"/>
          <w:sz w:val="24"/>
          <w:szCs w:val="24"/>
        </w:rPr>
        <w:t xml:space="preserve">Görüş, Dikkat Çekilen Hususlar Paragrafı veya Diğer Hususlar Paragrafı </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14. </w:t>
      </w:r>
      <w:r w:rsidRPr="00942409">
        <w:rPr>
          <w:rFonts w:ascii="Times New Roman" w:hAnsi="Times New Roman"/>
          <w:sz w:val="24"/>
          <w:szCs w:val="24"/>
        </w:rPr>
        <w:tab/>
      </w:r>
      <w:r>
        <w:rPr>
          <w:rFonts w:ascii="Times New Roman" w:hAnsi="Times New Roman"/>
          <w:color w:val="000000"/>
          <w:sz w:val="24"/>
          <w:szCs w:val="24"/>
        </w:rPr>
        <w:t>T</w:t>
      </w:r>
      <w:r w:rsidRPr="00942409">
        <w:rPr>
          <w:rFonts w:ascii="Times New Roman" w:hAnsi="Times New Roman"/>
          <w:color w:val="000000"/>
          <w:sz w:val="24"/>
          <w:szCs w:val="24"/>
        </w:rPr>
        <w:t>am bir finansal tablolar setine ilişkin denetçi raporunda olumlu görüş dışında bir görüş verilmesi veya söz konusu rapor</w:t>
      </w:r>
      <w:r>
        <w:rPr>
          <w:rFonts w:ascii="Times New Roman" w:hAnsi="Times New Roman"/>
          <w:color w:val="000000"/>
          <w:sz w:val="24"/>
          <w:szCs w:val="24"/>
        </w:rPr>
        <w:t>un</w:t>
      </w:r>
      <w:r w:rsidRPr="00942409">
        <w:rPr>
          <w:rFonts w:ascii="Times New Roman" w:hAnsi="Times New Roman"/>
          <w:color w:val="000000"/>
          <w:sz w:val="24"/>
          <w:szCs w:val="24"/>
        </w:rPr>
        <w:t xml:space="preserve"> Dikkat Çekilen Hususlar paragrafı veya Diğer Hususlar paragrafın</w:t>
      </w:r>
      <w:r>
        <w:rPr>
          <w:rFonts w:ascii="Times New Roman" w:hAnsi="Times New Roman"/>
          <w:color w:val="000000"/>
          <w:sz w:val="24"/>
          <w:szCs w:val="24"/>
        </w:rPr>
        <w:t>ı</w:t>
      </w:r>
      <w:r w:rsidRPr="00942409">
        <w:rPr>
          <w:rFonts w:ascii="Times New Roman" w:hAnsi="Times New Roman"/>
          <w:color w:val="000000"/>
          <w:sz w:val="24"/>
          <w:szCs w:val="24"/>
        </w:rPr>
        <w:t xml:space="preserve"> </w:t>
      </w:r>
      <w:r>
        <w:rPr>
          <w:rFonts w:ascii="Times New Roman" w:hAnsi="Times New Roman"/>
          <w:color w:val="000000"/>
          <w:sz w:val="24"/>
          <w:szCs w:val="24"/>
        </w:rPr>
        <w:t>içermesi</w:t>
      </w:r>
      <w:r w:rsidRPr="00942409">
        <w:rPr>
          <w:rFonts w:ascii="Times New Roman" w:hAnsi="Times New Roman"/>
          <w:color w:val="000000"/>
          <w:sz w:val="24"/>
          <w:szCs w:val="24"/>
        </w:rPr>
        <w:t xml:space="preserve"> durumunda denetçi</w:t>
      </w:r>
      <w:r>
        <w:rPr>
          <w:rFonts w:ascii="Times New Roman" w:hAnsi="Times New Roman"/>
          <w:color w:val="000000"/>
          <w:sz w:val="24"/>
          <w:szCs w:val="24"/>
        </w:rPr>
        <w:t>;</w:t>
      </w:r>
      <w:r w:rsidRPr="00942409">
        <w:rPr>
          <w:rFonts w:ascii="Times New Roman" w:hAnsi="Times New Roman"/>
          <w:color w:val="000000"/>
          <w:sz w:val="24"/>
          <w:szCs w:val="24"/>
        </w:rPr>
        <w:t xml:space="preserve"> bu durumun, </w:t>
      </w:r>
      <w:r w:rsidRPr="007C3F33">
        <w:rPr>
          <w:rFonts w:ascii="Times New Roman" w:hAnsi="Times New Roman"/>
          <w:color w:val="000000"/>
          <w:sz w:val="24"/>
          <w:szCs w:val="24"/>
        </w:rPr>
        <w:t>söz konusu finansal tablolar</w:t>
      </w:r>
      <w:r>
        <w:rPr>
          <w:rFonts w:ascii="Times New Roman" w:hAnsi="Times New Roman"/>
          <w:color w:val="000000"/>
          <w:sz w:val="24"/>
          <w:szCs w:val="24"/>
        </w:rPr>
        <w:t xml:space="preserve"> setinde </w:t>
      </w:r>
      <w:r w:rsidRPr="007C3F33">
        <w:rPr>
          <w:rFonts w:ascii="Times New Roman" w:hAnsi="Times New Roman"/>
          <w:color w:val="000000"/>
          <w:sz w:val="24"/>
          <w:szCs w:val="24"/>
        </w:rPr>
        <w:t xml:space="preserve">yer alan </w:t>
      </w:r>
      <w:r w:rsidRPr="00BD0796">
        <w:rPr>
          <w:rFonts w:ascii="Times New Roman" w:hAnsi="Times New Roman"/>
          <w:color w:val="000000"/>
          <w:sz w:val="24"/>
          <w:szCs w:val="24"/>
        </w:rPr>
        <w:t>tek bir finansal tabloya veya belirli bir unsura ilişkin denetçi raporu üzerinde yapabileceği etki</w:t>
      </w:r>
      <w:r>
        <w:rPr>
          <w:rFonts w:ascii="Times New Roman" w:hAnsi="Times New Roman"/>
          <w:color w:val="000000"/>
          <w:sz w:val="24"/>
          <w:szCs w:val="24"/>
        </w:rPr>
        <w:t xml:space="preserve">yi </w:t>
      </w:r>
      <w:r w:rsidRPr="00BD0796">
        <w:rPr>
          <w:rFonts w:ascii="Times New Roman" w:hAnsi="Times New Roman"/>
          <w:color w:val="000000"/>
          <w:sz w:val="24"/>
          <w:szCs w:val="24"/>
        </w:rPr>
        <w:t>belirler</w:t>
      </w:r>
      <w:r w:rsidRPr="002325E9">
        <w:rPr>
          <w:rFonts w:ascii="Times New Roman" w:hAnsi="Times New Roman"/>
          <w:color w:val="000000"/>
          <w:sz w:val="24"/>
          <w:szCs w:val="24"/>
        </w:rPr>
        <w:t xml:space="preserve">. Uygun görmesi hâlinde denetçi, </w:t>
      </w:r>
      <w:r w:rsidRPr="009E0269">
        <w:rPr>
          <w:rFonts w:ascii="Times New Roman" w:hAnsi="Times New Roman"/>
          <w:color w:val="000000"/>
          <w:sz w:val="24"/>
          <w:szCs w:val="24"/>
        </w:rPr>
        <w:t>benzer şekilde</w:t>
      </w:r>
      <w:r w:rsidRPr="002325E9">
        <w:rPr>
          <w:rFonts w:ascii="Times New Roman" w:hAnsi="Times New Roman"/>
          <w:color w:val="000000"/>
          <w:sz w:val="24"/>
          <w:szCs w:val="24"/>
        </w:rPr>
        <w:t>, tek bir finansal tabloya veya finansal tablodaki</w:t>
      </w:r>
      <w:r w:rsidRPr="00BD0796">
        <w:rPr>
          <w:rFonts w:ascii="Times New Roman" w:hAnsi="Times New Roman"/>
          <w:color w:val="000000"/>
          <w:sz w:val="24"/>
          <w:szCs w:val="24"/>
        </w:rPr>
        <w:t xml:space="preserve"> belirli bir unsura ilişkin olumlu görüş dışında bir görüş verir </w:t>
      </w:r>
      <w:r w:rsidRPr="009E0269">
        <w:rPr>
          <w:rFonts w:ascii="Times New Roman" w:hAnsi="Times New Roman"/>
          <w:color w:val="000000"/>
          <w:sz w:val="24"/>
          <w:szCs w:val="24"/>
        </w:rPr>
        <w:t xml:space="preserve">veya </w:t>
      </w:r>
      <w:r w:rsidRPr="00BD0796">
        <w:rPr>
          <w:rFonts w:ascii="Times New Roman" w:hAnsi="Times New Roman"/>
          <w:color w:val="000000"/>
          <w:sz w:val="24"/>
          <w:szCs w:val="24"/>
        </w:rPr>
        <w:t xml:space="preserve">denetçi raporuna Dikkat Çekilen Hususlar paragrafı </w:t>
      </w:r>
      <w:r>
        <w:rPr>
          <w:rFonts w:ascii="Times New Roman" w:hAnsi="Times New Roman"/>
          <w:color w:val="000000"/>
          <w:sz w:val="24"/>
          <w:szCs w:val="24"/>
        </w:rPr>
        <w:t>ya da</w:t>
      </w:r>
      <w:r w:rsidRPr="00BD0796">
        <w:rPr>
          <w:rFonts w:ascii="Times New Roman" w:hAnsi="Times New Roman"/>
          <w:color w:val="000000"/>
          <w:sz w:val="24"/>
          <w:szCs w:val="24"/>
        </w:rPr>
        <w:t xml:space="preserve"> Diğer Hususlar paragrafı ekler (Bakınız: A17 paragrafı).</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EA10A0">
        <w:rPr>
          <w:rFonts w:ascii="Times New Roman" w:hAnsi="Times New Roman"/>
          <w:color w:val="000000"/>
          <w:sz w:val="24"/>
          <w:szCs w:val="24"/>
        </w:rPr>
        <w:t xml:space="preserve">15. </w:t>
      </w:r>
      <w:r w:rsidRPr="00EA10A0">
        <w:rPr>
          <w:rFonts w:ascii="Times New Roman" w:hAnsi="Times New Roman"/>
          <w:sz w:val="24"/>
          <w:szCs w:val="24"/>
        </w:rPr>
        <w:tab/>
      </w:r>
      <w:r w:rsidRPr="00EA10A0">
        <w:rPr>
          <w:rFonts w:ascii="Times New Roman" w:hAnsi="Times New Roman"/>
          <w:color w:val="000000"/>
          <w:sz w:val="24"/>
          <w:szCs w:val="24"/>
        </w:rPr>
        <w:t>Denetçinin,</w:t>
      </w:r>
      <w:r w:rsidRPr="00EA10A0" w:rsidDel="00F024E7">
        <w:rPr>
          <w:rFonts w:ascii="Times New Roman" w:hAnsi="Times New Roman"/>
          <w:color w:val="000000"/>
          <w:sz w:val="24"/>
          <w:szCs w:val="24"/>
        </w:rPr>
        <w:t xml:space="preserve"> </w:t>
      </w:r>
      <w:r w:rsidRPr="00E91A25">
        <w:rPr>
          <w:rFonts w:ascii="Times New Roman" w:hAnsi="Times New Roman"/>
          <w:color w:val="000000"/>
          <w:sz w:val="24"/>
          <w:szCs w:val="24"/>
        </w:rPr>
        <w:t xml:space="preserve">bir bütün olarak </w:t>
      </w:r>
      <w:r>
        <w:rPr>
          <w:rFonts w:ascii="Times New Roman" w:hAnsi="Times New Roman"/>
          <w:color w:val="000000"/>
          <w:sz w:val="24"/>
          <w:szCs w:val="24"/>
        </w:rPr>
        <w:t xml:space="preserve">ilgili </w:t>
      </w:r>
      <w:r w:rsidRPr="00E91A25">
        <w:rPr>
          <w:rFonts w:ascii="Times New Roman" w:hAnsi="Times New Roman"/>
          <w:color w:val="000000"/>
          <w:sz w:val="24"/>
          <w:szCs w:val="24"/>
        </w:rPr>
        <w:t>işletmenin tam bir finansal tablolar setine ilişkin olumsuz</w:t>
      </w:r>
      <w:r w:rsidRPr="00942409">
        <w:rPr>
          <w:rFonts w:ascii="Times New Roman" w:hAnsi="Times New Roman"/>
          <w:color w:val="000000"/>
          <w:sz w:val="24"/>
          <w:szCs w:val="24"/>
        </w:rPr>
        <w:t xml:space="preserve"> </w:t>
      </w:r>
      <w:r w:rsidRPr="00942409">
        <w:rPr>
          <w:rFonts w:ascii="Times New Roman" w:hAnsi="Times New Roman"/>
          <w:sz w:val="24"/>
          <w:szCs w:val="24"/>
        </w:rPr>
        <w:t>görüş vermenin veya görüş vermekten kaçınmanın gerekli olduğu sonucuna varması durumunda; BDS</w:t>
      </w:r>
      <w:r w:rsidRPr="00942409">
        <w:rPr>
          <w:rFonts w:ascii="Times New Roman" w:hAnsi="Times New Roman"/>
          <w:color w:val="000000"/>
          <w:sz w:val="24"/>
          <w:szCs w:val="24"/>
        </w:rPr>
        <w:t xml:space="preserve"> 705</w:t>
      </w:r>
      <w:r>
        <w:rPr>
          <w:rFonts w:ascii="Times New Roman" w:hAnsi="Times New Roman"/>
          <w:color w:val="000000"/>
          <w:sz w:val="24"/>
          <w:szCs w:val="24"/>
        </w:rPr>
        <w:t>,</w:t>
      </w:r>
      <w:r w:rsidRPr="00942409">
        <w:rPr>
          <w:rFonts w:ascii="Times New Roman" w:hAnsi="Times New Roman"/>
          <w:color w:val="000000"/>
          <w:sz w:val="24"/>
          <w:szCs w:val="24"/>
        </w:rPr>
        <w:t xml:space="preserve"> denetçinin aynı denetçi raporunda, söz konusu finansal tablolar</w:t>
      </w:r>
      <w:r>
        <w:rPr>
          <w:rFonts w:ascii="Times New Roman" w:hAnsi="Times New Roman"/>
          <w:color w:val="000000"/>
          <w:sz w:val="24"/>
          <w:szCs w:val="24"/>
        </w:rPr>
        <w:t xml:space="preserve"> setinin </w:t>
      </w:r>
      <w:r w:rsidRPr="00942409">
        <w:rPr>
          <w:rFonts w:ascii="Times New Roman" w:hAnsi="Times New Roman"/>
          <w:color w:val="000000"/>
          <w:sz w:val="24"/>
          <w:szCs w:val="24"/>
        </w:rPr>
        <w:t>bir parçası olan tek bir finansal tabloya veya belirli bir unsura ilişkin olumlu görüş vermesine izin vermemektedir.</w:t>
      </w:r>
      <w:r w:rsidRPr="00942409">
        <w:rPr>
          <w:rStyle w:val="FootnoteReference"/>
          <w:rFonts w:ascii="Times New Roman" w:hAnsi="Times New Roman"/>
          <w:color w:val="000000"/>
          <w:sz w:val="24"/>
          <w:szCs w:val="24"/>
        </w:rPr>
        <w:footnoteReference w:id="9"/>
      </w:r>
      <w:r w:rsidRPr="00942409">
        <w:rPr>
          <w:rFonts w:ascii="Times New Roman" w:hAnsi="Times New Roman"/>
          <w:color w:val="000000"/>
          <w:sz w:val="24"/>
          <w:szCs w:val="24"/>
        </w:rPr>
        <w:t xml:space="preserve"> Bunun sebebi; böyle bir olumlu görüşün, bir bütün olarak işletmenin tam bir finansal tablolar setine ilişkin verilen olumsuz görüşle veya görüş vermekten kaçınmayla çelişecek olmasıdır (Bakınız: A18 paragrafı).</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16. </w:t>
      </w:r>
      <w:r w:rsidRPr="00942409">
        <w:rPr>
          <w:rFonts w:ascii="Times New Roman" w:hAnsi="Times New Roman"/>
          <w:sz w:val="24"/>
          <w:szCs w:val="24"/>
        </w:rPr>
        <w:tab/>
      </w:r>
      <w:r>
        <w:rPr>
          <w:rFonts w:ascii="Times New Roman" w:hAnsi="Times New Roman"/>
          <w:color w:val="000000"/>
          <w:sz w:val="24"/>
          <w:szCs w:val="24"/>
        </w:rPr>
        <w:t>B</w:t>
      </w:r>
      <w:r w:rsidRPr="00942409">
        <w:rPr>
          <w:rFonts w:ascii="Times New Roman" w:hAnsi="Times New Roman"/>
          <w:color w:val="000000"/>
          <w:sz w:val="24"/>
          <w:szCs w:val="24"/>
        </w:rPr>
        <w:t>ir bütün olarak işletmenin tam bir finansal tablolar setine ilişkin olumsuz görüş vermenin veya görüş vermekten kaçınmanın gerekli olduğu sonucuna varması</w:t>
      </w:r>
      <w:r>
        <w:rPr>
          <w:rFonts w:ascii="Times New Roman" w:hAnsi="Times New Roman"/>
          <w:color w:val="000000"/>
          <w:sz w:val="24"/>
          <w:szCs w:val="24"/>
        </w:rPr>
        <w:t>;</w:t>
      </w:r>
      <w:r w:rsidRPr="00942409">
        <w:rPr>
          <w:rFonts w:ascii="Times New Roman" w:hAnsi="Times New Roman"/>
          <w:color w:val="000000"/>
          <w:sz w:val="24"/>
          <w:szCs w:val="24"/>
        </w:rPr>
        <w:t xml:space="preserve"> ancak bu finansal tablolardaki belirli bir unsurun ayrı olarak denetlenmesi </w:t>
      </w:r>
      <w:r>
        <w:rPr>
          <w:rFonts w:ascii="Times New Roman" w:hAnsi="Times New Roman"/>
          <w:color w:val="000000"/>
          <w:sz w:val="24"/>
          <w:szCs w:val="24"/>
        </w:rPr>
        <w:t>kapsamında</w:t>
      </w:r>
      <w:r w:rsidRPr="00942409">
        <w:rPr>
          <w:rFonts w:ascii="Times New Roman" w:hAnsi="Times New Roman"/>
          <w:color w:val="000000"/>
          <w:sz w:val="24"/>
          <w:szCs w:val="24"/>
        </w:rPr>
        <w:t>, söz konusu unsura ilişkin olumlu görüş ver</w:t>
      </w:r>
      <w:r>
        <w:rPr>
          <w:rFonts w:ascii="Times New Roman" w:hAnsi="Times New Roman"/>
          <w:color w:val="000000"/>
          <w:sz w:val="24"/>
          <w:szCs w:val="24"/>
        </w:rPr>
        <w:t>menin</w:t>
      </w:r>
      <w:r w:rsidRPr="00942409">
        <w:rPr>
          <w:rFonts w:ascii="Times New Roman" w:hAnsi="Times New Roman"/>
          <w:color w:val="000000"/>
          <w:sz w:val="24"/>
          <w:szCs w:val="24"/>
        </w:rPr>
        <w:t xml:space="preserve"> uygun olduğunu değerlendirmesi durumunda</w:t>
      </w:r>
      <w:r>
        <w:rPr>
          <w:rFonts w:ascii="Times New Roman" w:hAnsi="Times New Roman"/>
          <w:color w:val="000000"/>
          <w:sz w:val="24"/>
          <w:szCs w:val="24"/>
        </w:rPr>
        <w:t xml:space="preserve"> denetçi</w:t>
      </w:r>
      <w:r w:rsidRPr="00942409">
        <w:rPr>
          <w:rFonts w:ascii="Times New Roman" w:hAnsi="Times New Roman"/>
          <w:color w:val="000000"/>
          <w:sz w:val="24"/>
          <w:szCs w:val="24"/>
        </w:rPr>
        <w:t>, sadece aşağıdaki şartlarda olumlu görüş verebilir:</w:t>
      </w:r>
    </w:p>
    <w:p w:rsidR="00285C13" w:rsidRPr="00060C38" w:rsidRDefault="00285C13" w:rsidP="009E0269">
      <w:pPr>
        <w:pStyle w:val="ListParagraph"/>
        <w:numPr>
          <w:ilvl w:val="0"/>
          <w:numId w:val="4"/>
        </w:numPr>
        <w:tabs>
          <w:tab w:val="left" w:pos="1418"/>
        </w:tabs>
        <w:autoSpaceDE w:val="0"/>
        <w:autoSpaceDN w:val="0"/>
        <w:adjustRightInd w:val="0"/>
        <w:spacing w:before="120" w:after="120" w:line="276" w:lineRule="auto"/>
        <w:ind w:left="1418" w:right="142" w:hanging="709"/>
        <w:contextualSpacing w:val="0"/>
        <w:jc w:val="both"/>
        <w:rPr>
          <w:rFonts w:ascii="Times New Roman" w:hAnsi="Times New Roman"/>
          <w:color w:val="000000"/>
          <w:sz w:val="24"/>
          <w:szCs w:val="24"/>
        </w:rPr>
      </w:pPr>
      <w:r w:rsidRPr="00060C38">
        <w:rPr>
          <w:rFonts w:ascii="Times New Roman" w:hAnsi="Times New Roman"/>
          <w:color w:val="000000"/>
          <w:sz w:val="24"/>
          <w:szCs w:val="24"/>
        </w:rPr>
        <w:t>Mevzuat tarafından yasaklanmamış olması,</w:t>
      </w:r>
    </w:p>
    <w:p w:rsidR="00285C13" w:rsidRPr="00942409" w:rsidRDefault="00285C13" w:rsidP="009E0269">
      <w:pPr>
        <w:pStyle w:val="ListParagraph"/>
        <w:numPr>
          <w:ilvl w:val="0"/>
          <w:numId w:val="4"/>
        </w:numPr>
        <w:tabs>
          <w:tab w:val="left" w:pos="1418"/>
        </w:tabs>
        <w:autoSpaceDE w:val="0"/>
        <w:autoSpaceDN w:val="0"/>
        <w:adjustRightInd w:val="0"/>
        <w:spacing w:before="120" w:after="120" w:line="276" w:lineRule="auto"/>
        <w:ind w:left="1418" w:right="142" w:hanging="709"/>
        <w:contextualSpacing w:val="0"/>
        <w:jc w:val="both"/>
        <w:rPr>
          <w:rFonts w:ascii="Times New Roman" w:hAnsi="Times New Roman"/>
          <w:color w:val="000000"/>
          <w:sz w:val="24"/>
          <w:szCs w:val="24"/>
        </w:rPr>
      </w:pPr>
      <w:r w:rsidRPr="00942409">
        <w:rPr>
          <w:rFonts w:ascii="Times New Roman" w:hAnsi="Times New Roman"/>
          <w:color w:val="000000"/>
          <w:sz w:val="24"/>
          <w:szCs w:val="24"/>
        </w:rPr>
        <w:t>Söz konusu görüşün, olumsuz görüş veya görüş vermekten kaçınma içeren denetçi raporuyla birlikte yayımlanmayan bir denetçi raporunda verilmesi ve</w:t>
      </w:r>
    </w:p>
    <w:p w:rsidR="00285C13" w:rsidRPr="00942409" w:rsidRDefault="00285C13" w:rsidP="009E0269">
      <w:pPr>
        <w:pStyle w:val="ListParagraph"/>
        <w:numPr>
          <w:ilvl w:val="0"/>
          <w:numId w:val="4"/>
        </w:numPr>
        <w:tabs>
          <w:tab w:val="left" w:pos="1418"/>
        </w:tabs>
        <w:autoSpaceDE w:val="0"/>
        <w:autoSpaceDN w:val="0"/>
        <w:adjustRightInd w:val="0"/>
        <w:spacing w:before="120" w:after="120" w:line="276" w:lineRule="auto"/>
        <w:ind w:left="1418" w:right="142" w:hanging="709"/>
        <w:contextualSpacing w:val="0"/>
        <w:jc w:val="both"/>
        <w:rPr>
          <w:rFonts w:ascii="Times New Roman" w:hAnsi="Times New Roman"/>
          <w:color w:val="000000"/>
          <w:sz w:val="24"/>
          <w:szCs w:val="24"/>
        </w:rPr>
      </w:pPr>
      <w:r w:rsidRPr="00942409">
        <w:rPr>
          <w:rFonts w:ascii="Times New Roman" w:hAnsi="Times New Roman"/>
          <w:color w:val="000000"/>
          <w:sz w:val="24"/>
          <w:szCs w:val="24"/>
        </w:rPr>
        <w:t xml:space="preserve">Söz konusu unsurun, işletmenin tam bir finansal tablolar setinin büyük bir </w:t>
      </w:r>
      <w:r>
        <w:rPr>
          <w:rFonts w:ascii="Times New Roman" w:hAnsi="Times New Roman"/>
          <w:color w:val="000000"/>
          <w:sz w:val="24"/>
          <w:szCs w:val="24"/>
        </w:rPr>
        <w:t>kısmını</w:t>
      </w:r>
      <w:r w:rsidRPr="00942409">
        <w:rPr>
          <w:rFonts w:ascii="Times New Roman" w:hAnsi="Times New Roman"/>
          <w:color w:val="000000"/>
          <w:sz w:val="24"/>
          <w:szCs w:val="24"/>
        </w:rPr>
        <w:t xml:space="preserve"> oluşturmaması.</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17. </w:t>
      </w:r>
      <w:r w:rsidRPr="00942409">
        <w:rPr>
          <w:rFonts w:ascii="Times New Roman" w:hAnsi="Times New Roman"/>
          <w:sz w:val="24"/>
          <w:szCs w:val="24"/>
        </w:rPr>
        <w:tab/>
      </w:r>
      <w:r w:rsidRPr="00942409">
        <w:rPr>
          <w:rFonts w:ascii="Times New Roman" w:hAnsi="Times New Roman"/>
          <w:color w:val="000000"/>
          <w:sz w:val="24"/>
          <w:szCs w:val="24"/>
        </w:rPr>
        <w:t>Bir bütün olarak tam bir finansal tablolar setine ilişkin olumsuz görüş vermiş veya görüş vermekten kaçınmış olması durumunda denetçi, tam bir finansal tablolar setindeki tek bir finansal tabloya ilişkin olumlu görüş ver</w:t>
      </w:r>
      <w:r>
        <w:rPr>
          <w:rFonts w:ascii="Times New Roman" w:hAnsi="Times New Roman"/>
          <w:color w:val="000000"/>
          <w:sz w:val="24"/>
          <w:szCs w:val="24"/>
        </w:rPr>
        <w:t>e</w:t>
      </w:r>
      <w:r w:rsidRPr="00942409">
        <w:rPr>
          <w:rFonts w:ascii="Times New Roman" w:hAnsi="Times New Roman"/>
          <w:color w:val="000000"/>
          <w:sz w:val="24"/>
          <w:szCs w:val="24"/>
        </w:rPr>
        <w:t>mez. Bu durum, tek bir finansal tabloya ilişkin denetçi raporunun, olumsuz görüş veya görüş vermekten kaçınma</w:t>
      </w:r>
      <w:r>
        <w:rPr>
          <w:rFonts w:ascii="Times New Roman" w:hAnsi="Times New Roman"/>
          <w:color w:val="000000"/>
          <w:sz w:val="24"/>
          <w:szCs w:val="24"/>
        </w:rPr>
        <w:t xml:space="preserve"> </w:t>
      </w:r>
      <w:r w:rsidRPr="00942409">
        <w:rPr>
          <w:rFonts w:ascii="Times New Roman" w:hAnsi="Times New Roman"/>
          <w:color w:val="000000"/>
          <w:sz w:val="24"/>
          <w:szCs w:val="24"/>
        </w:rPr>
        <w:t xml:space="preserve">içeren denetçi raporuyla birlikte yayımlanmamış olması durumunda dâhi geçerlidir. Bunun sebebi, tek bir finansal tablonun, söz konusu finansal tabloların büyük bir </w:t>
      </w:r>
      <w:r>
        <w:rPr>
          <w:rFonts w:ascii="Times New Roman" w:hAnsi="Times New Roman"/>
          <w:color w:val="000000"/>
          <w:sz w:val="24"/>
          <w:szCs w:val="24"/>
        </w:rPr>
        <w:t>kısmını</w:t>
      </w:r>
      <w:r w:rsidRPr="00942409">
        <w:rPr>
          <w:rFonts w:ascii="Times New Roman" w:hAnsi="Times New Roman"/>
          <w:color w:val="000000"/>
          <w:sz w:val="24"/>
          <w:szCs w:val="24"/>
        </w:rPr>
        <w:t xml:space="preserve"> oluşturduğunun kabul edilmesidir.</w:t>
      </w:r>
    </w:p>
    <w:p w:rsidR="00285C13" w:rsidRPr="00942409" w:rsidRDefault="00285C13" w:rsidP="009E0269">
      <w:pPr>
        <w:pStyle w:val="FootnoteText"/>
        <w:spacing w:before="120" w:after="120" w:line="276" w:lineRule="auto"/>
        <w:ind w:right="142"/>
        <w:rPr>
          <w:rFonts w:ascii="Times New Roman" w:hAnsi="Times New Roman"/>
          <w:b/>
          <w:bCs/>
          <w:color w:val="000000"/>
        </w:rPr>
      </w:pPr>
      <w:r w:rsidRPr="00942409">
        <w:rPr>
          <w:rFonts w:ascii="Times New Roman" w:hAnsi="Times New Roman"/>
        </w:rPr>
        <w:br w:type="page"/>
      </w:r>
    </w:p>
    <w:p w:rsidR="00285C13" w:rsidRDefault="00285C13" w:rsidP="009E0269">
      <w:pPr>
        <w:spacing w:before="120" w:after="120" w:line="276" w:lineRule="auto"/>
        <w:ind w:right="142"/>
        <w:jc w:val="center"/>
        <w:rPr>
          <w:rFonts w:ascii="Times New Roman" w:hAnsi="Times New Roman"/>
          <w:b/>
          <w:sz w:val="27"/>
          <w:szCs w:val="27"/>
        </w:rPr>
      </w:pPr>
      <w:r>
        <w:rPr>
          <w:rFonts w:ascii="Times New Roman" w:hAnsi="Times New Roman"/>
          <w:b/>
          <w:sz w:val="27"/>
          <w:szCs w:val="27"/>
        </w:rPr>
        <w:t>***</w:t>
      </w:r>
    </w:p>
    <w:p w:rsidR="00285C13" w:rsidRPr="00942409" w:rsidRDefault="00285C13" w:rsidP="009E0269">
      <w:pPr>
        <w:spacing w:before="120" w:after="120" w:line="276" w:lineRule="auto"/>
        <w:ind w:right="142"/>
        <w:rPr>
          <w:rFonts w:ascii="Times New Roman" w:hAnsi="Times New Roman"/>
          <w:b/>
          <w:sz w:val="27"/>
          <w:szCs w:val="27"/>
        </w:rPr>
      </w:pPr>
      <w:r w:rsidRPr="00942409">
        <w:rPr>
          <w:rFonts w:ascii="Times New Roman" w:hAnsi="Times New Roman"/>
          <w:b/>
          <w:sz w:val="27"/>
          <w:szCs w:val="27"/>
        </w:rPr>
        <w:t xml:space="preserve">Açıklayıcı Hükümler ve Uygulama </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b/>
          <w:sz w:val="24"/>
          <w:szCs w:val="24"/>
        </w:rPr>
        <w:t>Kapsam</w:t>
      </w:r>
      <w:r w:rsidRPr="00942409">
        <w:rPr>
          <w:rFonts w:ascii="Times New Roman" w:hAnsi="Times New Roman"/>
          <w:sz w:val="24"/>
          <w:szCs w:val="24"/>
        </w:rPr>
        <w:t xml:space="preserve"> (</w:t>
      </w:r>
      <w:r w:rsidRPr="00942409">
        <w:rPr>
          <w:rFonts w:ascii="Times New Roman" w:hAnsi="Times New Roman"/>
          <w:color w:val="000000"/>
          <w:sz w:val="24"/>
          <w:szCs w:val="24"/>
        </w:rPr>
        <w:t xml:space="preserve">Bakınız: 1 inci paragraf) </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A1.</w:t>
      </w:r>
      <w:r w:rsidRPr="00942409">
        <w:rPr>
          <w:rFonts w:ascii="Times New Roman" w:hAnsi="Times New Roman"/>
          <w:sz w:val="24"/>
          <w:szCs w:val="24"/>
        </w:rPr>
        <w:tab/>
      </w:r>
      <w:r w:rsidRPr="00942409">
        <w:rPr>
          <w:rFonts w:ascii="Times New Roman" w:hAnsi="Times New Roman"/>
          <w:color w:val="000000"/>
          <w:sz w:val="24"/>
          <w:szCs w:val="24"/>
        </w:rPr>
        <w:t>BDS 200</w:t>
      </w:r>
      <w:r>
        <w:rPr>
          <w:rFonts w:ascii="Times New Roman" w:hAnsi="Times New Roman"/>
          <w:color w:val="000000"/>
          <w:sz w:val="24"/>
          <w:szCs w:val="24"/>
        </w:rPr>
        <w:t>,</w:t>
      </w:r>
      <w:r w:rsidRPr="00942409">
        <w:rPr>
          <w:rFonts w:ascii="Times New Roman" w:hAnsi="Times New Roman"/>
          <w:color w:val="000000"/>
          <w:sz w:val="24"/>
          <w:szCs w:val="24"/>
        </w:rPr>
        <w:t xml:space="preserve"> “tarih</w:t>
      </w:r>
      <w:r>
        <w:rPr>
          <w:rFonts w:ascii="Times New Roman" w:hAnsi="Times New Roman"/>
          <w:color w:val="000000"/>
          <w:sz w:val="24"/>
          <w:szCs w:val="24"/>
        </w:rPr>
        <w:t>î</w:t>
      </w:r>
      <w:r w:rsidRPr="00942409">
        <w:rPr>
          <w:rFonts w:ascii="Times New Roman" w:hAnsi="Times New Roman"/>
          <w:color w:val="000000"/>
          <w:sz w:val="24"/>
          <w:szCs w:val="24"/>
        </w:rPr>
        <w:t xml:space="preserve"> finansal bilgi” terimini; belirli bir işletmeyle ilgili olarak öncelikle işletmenin muhasebe sisteminden elde edilen ve geçmiş dönemlerde meydana gelen ekonomik olaylar veya geçmiş tarihlerdeki ekonomik durum veya şartlar hakkında finansal terimlerle ifade edilen bilgi olarak tanımlamaktadır.</w:t>
      </w:r>
      <w:r w:rsidRPr="00942409">
        <w:rPr>
          <w:rStyle w:val="FootnoteReference"/>
          <w:rFonts w:ascii="Times New Roman" w:hAnsi="Times New Roman"/>
          <w:color w:val="000000"/>
          <w:sz w:val="24"/>
          <w:szCs w:val="24"/>
        </w:rPr>
        <w:footnoteReference w:id="10"/>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A2. </w:t>
      </w:r>
      <w:r w:rsidRPr="00942409">
        <w:rPr>
          <w:rFonts w:ascii="Times New Roman" w:hAnsi="Times New Roman"/>
          <w:sz w:val="24"/>
          <w:szCs w:val="24"/>
        </w:rPr>
        <w:tab/>
      </w:r>
      <w:r w:rsidRPr="00942409">
        <w:rPr>
          <w:rFonts w:ascii="Times New Roman" w:hAnsi="Times New Roman"/>
          <w:color w:val="000000"/>
          <w:sz w:val="24"/>
          <w:szCs w:val="24"/>
        </w:rPr>
        <w:t>BDS 200</w:t>
      </w:r>
      <w:r>
        <w:rPr>
          <w:rFonts w:ascii="Times New Roman" w:hAnsi="Times New Roman"/>
          <w:color w:val="000000"/>
          <w:sz w:val="24"/>
          <w:szCs w:val="24"/>
        </w:rPr>
        <w:t>,</w:t>
      </w:r>
      <w:r w:rsidRPr="00942409">
        <w:rPr>
          <w:rFonts w:ascii="Times New Roman" w:hAnsi="Times New Roman"/>
          <w:color w:val="000000"/>
          <w:sz w:val="24"/>
          <w:szCs w:val="24"/>
        </w:rPr>
        <w:t xml:space="preserve"> “finansal tablolar” terimini; ilgili dipnotlar dâhil olmak üzere, tarihî finansal bilgilerin, geçerli finansal raporlama çerçevesine uygun olarak, bir işletmenin belirli bir tarihteki ekonomik kaynaklarını veya yükümlülüklerini ya da belirli bir dönemde bunlarda meydana gelen değişiklikleri göstermek amacıyla biçimlendirilmiş sunumu olarak tanımlamaktadır. “Finansal tablolar” terimi</w:t>
      </w:r>
      <w:r>
        <w:rPr>
          <w:rFonts w:ascii="Times New Roman" w:hAnsi="Times New Roman"/>
          <w:color w:val="000000"/>
          <w:sz w:val="24"/>
          <w:szCs w:val="24"/>
        </w:rPr>
        <w:t xml:space="preserve"> genellikle</w:t>
      </w:r>
      <w:r w:rsidRPr="00942409">
        <w:rPr>
          <w:rFonts w:ascii="Times New Roman" w:hAnsi="Times New Roman"/>
          <w:color w:val="000000"/>
          <w:sz w:val="24"/>
          <w:szCs w:val="24"/>
        </w:rPr>
        <w:t>, geçerli finansal raporlama çerçevesi uyarınca belirlenen tam bir finansal tablolar setini ifade eder.</w:t>
      </w:r>
      <w:r w:rsidRPr="00942409">
        <w:rPr>
          <w:rStyle w:val="FootnoteReference"/>
          <w:rFonts w:ascii="Times New Roman" w:hAnsi="Times New Roman"/>
          <w:color w:val="000000"/>
          <w:sz w:val="24"/>
          <w:szCs w:val="24"/>
        </w:rPr>
        <w:footnoteReference w:id="11"/>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A3. </w:t>
      </w:r>
      <w:r w:rsidRPr="00942409">
        <w:rPr>
          <w:rFonts w:ascii="Times New Roman" w:hAnsi="Times New Roman"/>
          <w:sz w:val="24"/>
          <w:szCs w:val="24"/>
        </w:rPr>
        <w:tab/>
      </w:r>
      <w:r w:rsidRPr="00942409">
        <w:rPr>
          <w:rFonts w:ascii="Times New Roman" w:hAnsi="Times New Roman"/>
          <w:color w:val="000000"/>
          <w:sz w:val="24"/>
          <w:szCs w:val="24"/>
        </w:rPr>
        <w:t>BDS’ler, finansal tabloları</w:t>
      </w:r>
      <w:r>
        <w:rPr>
          <w:rFonts w:ascii="Times New Roman" w:hAnsi="Times New Roman"/>
          <w:color w:val="000000"/>
          <w:sz w:val="24"/>
          <w:szCs w:val="24"/>
        </w:rPr>
        <w:t>n</w:t>
      </w:r>
      <w:r w:rsidRPr="00942409">
        <w:rPr>
          <w:rFonts w:ascii="Times New Roman" w:hAnsi="Times New Roman"/>
          <w:color w:val="000000"/>
          <w:sz w:val="24"/>
          <w:szCs w:val="24"/>
        </w:rPr>
        <w:t xml:space="preserve"> denetlemesine yönelik olarak hazırlanmış</w:t>
      </w:r>
      <w:r>
        <w:rPr>
          <w:rFonts w:ascii="Times New Roman" w:hAnsi="Times New Roman"/>
          <w:color w:val="000000"/>
          <w:sz w:val="24"/>
          <w:szCs w:val="24"/>
        </w:rPr>
        <w:t xml:space="preserve"> olup,</w:t>
      </w:r>
      <w:r w:rsidRPr="00942409">
        <w:rPr>
          <w:rStyle w:val="FootnoteReference"/>
          <w:rFonts w:ascii="Times New Roman" w:hAnsi="Times New Roman"/>
          <w:color w:val="000000"/>
          <w:sz w:val="24"/>
          <w:szCs w:val="24"/>
        </w:rPr>
        <w:footnoteReference w:id="12"/>
      </w:r>
      <w:r w:rsidRPr="00942409">
        <w:rPr>
          <w:rFonts w:ascii="Times New Roman" w:hAnsi="Times New Roman"/>
          <w:color w:val="000000"/>
          <w:sz w:val="24"/>
          <w:szCs w:val="24"/>
        </w:rPr>
        <w:t xml:space="preserve"> tek bir finansal tablo veya finansal tablodaki belirli bir unsur gibi diğer tarih</w:t>
      </w:r>
      <w:r>
        <w:rPr>
          <w:rFonts w:ascii="Times New Roman" w:hAnsi="Times New Roman"/>
          <w:color w:val="000000"/>
          <w:sz w:val="24"/>
          <w:szCs w:val="24"/>
        </w:rPr>
        <w:t>î</w:t>
      </w:r>
      <w:r w:rsidRPr="00942409">
        <w:rPr>
          <w:rFonts w:ascii="Times New Roman" w:hAnsi="Times New Roman"/>
          <w:color w:val="000000"/>
          <w:sz w:val="24"/>
          <w:szCs w:val="24"/>
        </w:rPr>
        <w:t xml:space="preserve"> finansal bilgilerin denetiminde uygulanmaları hâlinde, gerekti</w:t>
      </w:r>
      <w:r>
        <w:rPr>
          <w:rFonts w:ascii="Times New Roman" w:hAnsi="Times New Roman"/>
          <w:color w:val="000000"/>
          <w:sz w:val="24"/>
          <w:szCs w:val="24"/>
        </w:rPr>
        <w:t>ğinde</w:t>
      </w:r>
      <w:r w:rsidRPr="00942409">
        <w:rPr>
          <w:rFonts w:ascii="Times New Roman" w:hAnsi="Times New Roman"/>
          <w:color w:val="000000"/>
          <w:sz w:val="24"/>
          <w:szCs w:val="24"/>
        </w:rPr>
        <w:t xml:space="preserve"> şartlar</w:t>
      </w:r>
      <w:r>
        <w:rPr>
          <w:rFonts w:ascii="Times New Roman" w:hAnsi="Times New Roman"/>
          <w:color w:val="000000"/>
          <w:sz w:val="24"/>
          <w:szCs w:val="24"/>
        </w:rPr>
        <w:t xml:space="preserve">a </w:t>
      </w:r>
      <w:r w:rsidRPr="00367C23">
        <w:rPr>
          <w:rFonts w:ascii="Times New Roman" w:hAnsi="Times New Roman"/>
          <w:color w:val="000000"/>
          <w:sz w:val="24"/>
          <w:szCs w:val="24"/>
        </w:rPr>
        <w:t>göre uyarlanır.</w:t>
      </w:r>
      <w:r w:rsidRPr="00942409">
        <w:rPr>
          <w:rFonts w:ascii="Times New Roman" w:hAnsi="Times New Roman"/>
          <w:color w:val="000000"/>
          <w:sz w:val="24"/>
          <w:szCs w:val="24"/>
        </w:rPr>
        <w:t xml:space="preserve"> </w:t>
      </w:r>
      <w:r>
        <w:rPr>
          <w:rFonts w:ascii="Times New Roman" w:hAnsi="Times New Roman"/>
          <w:color w:val="000000"/>
          <w:sz w:val="24"/>
          <w:szCs w:val="24"/>
        </w:rPr>
        <w:t>Bu BDS</w:t>
      </w:r>
      <w:r w:rsidRPr="00942409">
        <w:rPr>
          <w:rFonts w:ascii="Times New Roman" w:hAnsi="Times New Roman"/>
          <w:color w:val="000000"/>
          <w:sz w:val="24"/>
          <w:szCs w:val="24"/>
        </w:rPr>
        <w:t>, bu konuda yardımcı olmaktadır (Ek 1’de diğer tarih</w:t>
      </w:r>
      <w:r>
        <w:rPr>
          <w:rFonts w:ascii="Times New Roman" w:hAnsi="Times New Roman"/>
          <w:color w:val="000000"/>
          <w:sz w:val="24"/>
          <w:szCs w:val="24"/>
        </w:rPr>
        <w:t>î</w:t>
      </w:r>
      <w:r w:rsidRPr="00942409">
        <w:rPr>
          <w:rFonts w:ascii="Times New Roman" w:hAnsi="Times New Roman"/>
          <w:color w:val="000000"/>
          <w:sz w:val="24"/>
          <w:szCs w:val="24"/>
        </w:rPr>
        <w:t xml:space="preserve"> finansal bilgiler</w:t>
      </w:r>
      <w:r>
        <w:rPr>
          <w:rFonts w:ascii="Times New Roman" w:hAnsi="Times New Roman"/>
          <w:color w:val="000000"/>
          <w:sz w:val="24"/>
          <w:szCs w:val="24"/>
        </w:rPr>
        <w:t>le ilgili örnekler</w:t>
      </w:r>
      <w:r w:rsidRPr="00942409">
        <w:rPr>
          <w:rFonts w:ascii="Times New Roman" w:hAnsi="Times New Roman"/>
          <w:color w:val="000000"/>
          <w:sz w:val="24"/>
          <w:szCs w:val="24"/>
        </w:rPr>
        <w:t xml:space="preserve"> </w:t>
      </w:r>
      <w:r>
        <w:rPr>
          <w:rFonts w:ascii="Times New Roman" w:hAnsi="Times New Roman"/>
          <w:color w:val="000000"/>
          <w:sz w:val="24"/>
          <w:szCs w:val="24"/>
        </w:rPr>
        <w:t>yer almaktadır</w:t>
      </w:r>
      <w:r w:rsidRPr="00942409">
        <w:rPr>
          <w:rFonts w:ascii="Times New Roman" w:hAnsi="Times New Roman"/>
          <w:color w:val="000000"/>
          <w:sz w:val="24"/>
          <w:szCs w:val="24"/>
        </w:rPr>
        <w:t>).</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A4. </w:t>
      </w:r>
      <w:r w:rsidRPr="00942409">
        <w:rPr>
          <w:rFonts w:ascii="Times New Roman" w:hAnsi="Times New Roman"/>
          <w:sz w:val="24"/>
          <w:szCs w:val="24"/>
        </w:rPr>
        <w:tab/>
      </w:r>
      <w:r w:rsidRPr="00942409">
        <w:rPr>
          <w:rFonts w:ascii="Times New Roman" w:hAnsi="Times New Roman"/>
          <w:color w:val="000000"/>
          <w:sz w:val="24"/>
          <w:szCs w:val="24"/>
        </w:rPr>
        <w:t>Tarih</w:t>
      </w:r>
      <w:r>
        <w:rPr>
          <w:rFonts w:ascii="Times New Roman" w:hAnsi="Times New Roman"/>
          <w:color w:val="000000"/>
          <w:sz w:val="24"/>
          <w:szCs w:val="24"/>
        </w:rPr>
        <w:t>î</w:t>
      </w:r>
      <w:r w:rsidRPr="00942409">
        <w:rPr>
          <w:rFonts w:ascii="Times New Roman" w:hAnsi="Times New Roman"/>
          <w:color w:val="000000"/>
          <w:sz w:val="24"/>
          <w:szCs w:val="24"/>
        </w:rPr>
        <w:t xml:space="preserve"> finansal bilgilerin </w:t>
      </w:r>
      <w:r w:rsidRPr="0082346A">
        <w:rPr>
          <w:rFonts w:ascii="Times New Roman" w:hAnsi="Times New Roman"/>
          <w:color w:val="000000"/>
          <w:sz w:val="24"/>
          <w:szCs w:val="24"/>
        </w:rPr>
        <w:t xml:space="preserve">denetimi dışındaki </w:t>
      </w:r>
      <w:r w:rsidRPr="009E0269">
        <w:rPr>
          <w:rFonts w:ascii="Times New Roman" w:hAnsi="Times New Roman"/>
          <w:color w:val="000000"/>
          <w:sz w:val="24"/>
          <w:szCs w:val="24"/>
        </w:rPr>
        <w:t xml:space="preserve">bir makul güvence </w:t>
      </w:r>
      <w:r w:rsidRPr="0082346A">
        <w:rPr>
          <w:rFonts w:ascii="Times New Roman" w:hAnsi="Times New Roman"/>
          <w:color w:val="000000"/>
          <w:sz w:val="24"/>
          <w:szCs w:val="24"/>
        </w:rPr>
        <w:t>denetim</w:t>
      </w:r>
      <w:r w:rsidRPr="009E0269">
        <w:rPr>
          <w:rFonts w:ascii="Times New Roman" w:hAnsi="Times New Roman"/>
          <w:color w:val="000000"/>
          <w:sz w:val="24"/>
          <w:szCs w:val="24"/>
        </w:rPr>
        <w:t>i</w:t>
      </w:r>
      <w:r w:rsidRPr="0082346A">
        <w:rPr>
          <w:rFonts w:ascii="Times New Roman" w:hAnsi="Times New Roman"/>
          <w:color w:val="000000"/>
          <w:sz w:val="24"/>
          <w:szCs w:val="24"/>
        </w:rPr>
        <w:t>, Güvence Denetimi Standardı (GDS) 3000</w:t>
      </w:r>
      <w:r>
        <w:rPr>
          <w:rFonts w:ascii="Times New Roman" w:hAnsi="Times New Roman"/>
          <w:color w:val="000000"/>
          <w:sz w:val="24"/>
          <w:szCs w:val="24"/>
        </w:rPr>
        <w:t>’e uygun olarak</w:t>
      </w:r>
      <w:r w:rsidRPr="00060C38">
        <w:rPr>
          <w:rFonts w:ascii="Times New Roman" w:hAnsi="Times New Roman"/>
          <w:color w:val="000000"/>
          <w:sz w:val="24"/>
          <w:szCs w:val="24"/>
        </w:rPr>
        <w:t xml:space="preserve"> </w:t>
      </w:r>
      <w:r w:rsidRPr="009E0269">
        <w:rPr>
          <w:rFonts w:ascii="Times New Roman" w:hAnsi="Times New Roman"/>
          <w:color w:val="000000"/>
          <w:sz w:val="24"/>
          <w:szCs w:val="24"/>
        </w:rPr>
        <w:t>yürütülür</w:t>
      </w:r>
      <w:r w:rsidRPr="00060C38">
        <w:rPr>
          <w:rFonts w:ascii="Times New Roman" w:hAnsi="Times New Roman"/>
          <w:color w:val="000000"/>
          <w:sz w:val="24"/>
          <w:szCs w:val="24"/>
        </w:rPr>
        <w:t>.</w:t>
      </w:r>
      <w:r w:rsidRPr="00060C38">
        <w:rPr>
          <w:rStyle w:val="FootnoteReference"/>
          <w:rFonts w:ascii="Times New Roman" w:hAnsi="Times New Roman"/>
          <w:color w:val="000000"/>
          <w:sz w:val="24"/>
          <w:szCs w:val="24"/>
        </w:rPr>
        <w:footnoteReference w:id="13"/>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Denetim</w:t>
      </w:r>
      <w:r>
        <w:rPr>
          <w:rFonts w:ascii="Times New Roman" w:hAnsi="Times New Roman"/>
          <w:b/>
          <w:color w:val="000000"/>
          <w:sz w:val="24"/>
          <w:szCs w:val="24"/>
        </w:rPr>
        <w:t>in</w:t>
      </w:r>
      <w:r w:rsidRPr="00942409">
        <w:rPr>
          <w:rFonts w:ascii="Times New Roman" w:hAnsi="Times New Roman"/>
          <w:b/>
          <w:color w:val="000000"/>
          <w:sz w:val="24"/>
          <w:szCs w:val="24"/>
        </w:rPr>
        <w:t xml:space="preserve"> Kabulüne İlişkin Hususlar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i/>
          <w:sz w:val="24"/>
          <w:szCs w:val="24"/>
        </w:rPr>
        <w:t xml:space="preserve">BDS’lerin Uygulanması </w:t>
      </w:r>
      <w:r w:rsidRPr="00942409">
        <w:rPr>
          <w:rFonts w:ascii="Times New Roman" w:hAnsi="Times New Roman"/>
          <w:sz w:val="24"/>
          <w:szCs w:val="24"/>
        </w:rPr>
        <w:t>(Bakınız: 7 nci paragraf)</w:t>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A5. </w:t>
      </w:r>
      <w:r w:rsidRPr="00942409">
        <w:rPr>
          <w:rFonts w:ascii="Times New Roman" w:hAnsi="Times New Roman"/>
          <w:sz w:val="24"/>
          <w:szCs w:val="24"/>
        </w:rPr>
        <w:tab/>
        <w:t>BDS 200</w:t>
      </w:r>
      <w:r>
        <w:rPr>
          <w:rFonts w:ascii="Times New Roman" w:hAnsi="Times New Roman"/>
          <w:sz w:val="24"/>
          <w:szCs w:val="24"/>
        </w:rPr>
        <w:t>,</w:t>
      </w:r>
      <w:r w:rsidRPr="00942409">
        <w:rPr>
          <w:rFonts w:ascii="Times New Roman" w:hAnsi="Times New Roman"/>
          <w:sz w:val="24"/>
          <w:szCs w:val="24"/>
        </w:rPr>
        <w:t xml:space="preserve"> denetçinin</w:t>
      </w:r>
      <w:r>
        <w:rPr>
          <w:rFonts w:ascii="Times New Roman" w:hAnsi="Times New Roman"/>
          <w:sz w:val="24"/>
          <w:szCs w:val="24"/>
        </w:rPr>
        <w:t>,</w:t>
      </w:r>
      <w:r w:rsidRPr="00942409">
        <w:rPr>
          <w:rFonts w:ascii="Times New Roman" w:hAnsi="Times New Roman"/>
          <w:sz w:val="24"/>
          <w:szCs w:val="24"/>
        </w:rPr>
        <w:t xml:space="preserve"> (a) finansal tabloların denetiminde bağımsızlıkla ilgili olanlar da dâhil ilgili etik hükümlere ve (b) denetimle ilgili bütün BDS</w:t>
      </w:r>
      <w:r>
        <w:rPr>
          <w:rFonts w:ascii="Times New Roman" w:hAnsi="Times New Roman"/>
          <w:sz w:val="24"/>
          <w:szCs w:val="24"/>
        </w:rPr>
        <w:t>’</w:t>
      </w:r>
      <w:r w:rsidRPr="00942409">
        <w:rPr>
          <w:rFonts w:ascii="Times New Roman" w:hAnsi="Times New Roman"/>
          <w:sz w:val="24"/>
          <w:szCs w:val="24"/>
        </w:rPr>
        <w:t xml:space="preserve">lere uymasını </w:t>
      </w:r>
      <w:r>
        <w:rPr>
          <w:rFonts w:ascii="Times New Roman" w:hAnsi="Times New Roman"/>
          <w:sz w:val="24"/>
          <w:szCs w:val="24"/>
        </w:rPr>
        <w:t>zorunlu kılar</w:t>
      </w:r>
      <w:r w:rsidRPr="00942409">
        <w:rPr>
          <w:rFonts w:ascii="Times New Roman" w:hAnsi="Times New Roman"/>
          <w:sz w:val="24"/>
          <w:szCs w:val="24"/>
        </w:rPr>
        <w:t>. Ayrıca BDS 200; bir BDS’nin tamamının yürütülen denetimle ilgili olmaması veya hükmün bir şarta bağlı olması ve bu şartın mevcut olmaması haricinde denetçinin, denetimi ilgili BDS’nin tüm hükümlerine uygun şekilde yürütmesini zorunlu kılar.</w:t>
      </w:r>
      <w:r w:rsidRPr="00942409" w:rsidDel="00DE6EF7">
        <w:rPr>
          <w:rFonts w:ascii="Times New Roman" w:hAnsi="Times New Roman"/>
          <w:sz w:val="24"/>
          <w:szCs w:val="24"/>
        </w:rPr>
        <w:t xml:space="preserve"> </w:t>
      </w:r>
      <w:r w:rsidRPr="00060C38">
        <w:rPr>
          <w:rFonts w:ascii="Times New Roman" w:hAnsi="Times New Roman"/>
          <w:sz w:val="24"/>
          <w:szCs w:val="24"/>
        </w:rPr>
        <w:t>İstisnai durumlarda denetçi, bir BDS’de yer alan ilgili hükümden sapmanın gerekli olduğuna karar verebilir</w:t>
      </w:r>
      <w:r w:rsidRPr="00060C38">
        <w:rPr>
          <w:rFonts w:ascii="Times New Roman" w:hAnsi="Times New Roman"/>
          <w:color w:val="000000"/>
          <w:sz w:val="24"/>
        </w:rPr>
        <w:t xml:space="preserve">. Bu tür durumlarda denetçi, </w:t>
      </w:r>
      <w:r w:rsidRPr="00060C38">
        <w:rPr>
          <w:rFonts w:ascii="Times New Roman" w:hAnsi="Times New Roman"/>
          <w:sz w:val="24"/>
          <w:szCs w:val="24"/>
        </w:rPr>
        <w:t>söz konusu hükmün amacına ulaşmak için alternatif denetim prosedürleri uygular</w:t>
      </w:r>
      <w:r w:rsidRPr="00060C38">
        <w:rPr>
          <w:rFonts w:ascii="Times New Roman" w:hAnsi="Times New Roman"/>
          <w:color w:val="000000"/>
          <w:sz w:val="24"/>
        </w:rPr>
        <w:t>.</w:t>
      </w:r>
      <w:r w:rsidRPr="00060C38">
        <w:rPr>
          <w:rStyle w:val="FootnoteReference"/>
          <w:rFonts w:ascii="Times New Roman" w:hAnsi="Times New Roman"/>
          <w:color w:val="000000"/>
          <w:sz w:val="24"/>
        </w:rPr>
        <w:footnoteReference w:id="14"/>
      </w:r>
    </w:p>
    <w:p w:rsidR="00285C13" w:rsidRPr="00942409" w:rsidRDefault="00285C13">
      <w:pPr>
        <w:spacing w:before="120" w:after="120" w:line="276" w:lineRule="auto"/>
        <w:ind w:left="708" w:right="142" w:hanging="708"/>
        <w:jc w:val="both"/>
        <w:rPr>
          <w:rFonts w:ascii="Times New Roman" w:hAnsi="Times New Roman"/>
          <w:color w:val="000000"/>
          <w:sz w:val="24"/>
          <w:szCs w:val="24"/>
        </w:rPr>
      </w:pPr>
      <w:r w:rsidRPr="00942409">
        <w:rPr>
          <w:rFonts w:ascii="Times New Roman" w:hAnsi="Times New Roman"/>
          <w:color w:val="000000"/>
          <w:sz w:val="24"/>
          <w:szCs w:val="24"/>
        </w:rPr>
        <w:t xml:space="preserve">A6. </w:t>
      </w:r>
      <w:r w:rsidRPr="00942409">
        <w:rPr>
          <w:rFonts w:ascii="Times New Roman" w:hAnsi="Times New Roman"/>
          <w:sz w:val="24"/>
          <w:szCs w:val="24"/>
        </w:rPr>
        <w:tab/>
      </w:r>
      <w:r w:rsidRPr="00942409">
        <w:rPr>
          <w:rFonts w:ascii="Times New Roman" w:hAnsi="Times New Roman"/>
          <w:color w:val="000000"/>
          <w:sz w:val="24"/>
          <w:szCs w:val="24"/>
        </w:rPr>
        <w:t>Denetçinin</w:t>
      </w:r>
      <w:r>
        <w:rPr>
          <w:rFonts w:ascii="Times New Roman" w:hAnsi="Times New Roman"/>
          <w:color w:val="000000"/>
          <w:sz w:val="24"/>
          <w:szCs w:val="24"/>
        </w:rPr>
        <w:t>,</w:t>
      </w:r>
      <w:r w:rsidRPr="00942409">
        <w:rPr>
          <w:rFonts w:ascii="Times New Roman" w:hAnsi="Times New Roman"/>
          <w:color w:val="000000"/>
          <w:sz w:val="24"/>
          <w:szCs w:val="24"/>
        </w:rPr>
        <w:t xml:space="preserve"> </w:t>
      </w:r>
      <w:r>
        <w:rPr>
          <w:rFonts w:ascii="Times New Roman" w:hAnsi="Times New Roman"/>
          <w:color w:val="000000"/>
          <w:sz w:val="24"/>
          <w:szCs w:val="24"/>
        </w:rPr>
        <w:t xml:space="preserve">aynı zamanda </w:t>
      </w:r>
      <w:r w:rsidRPr="00942409">
        <w:rPr>
          <w:rFonts w:ascii="Times New Roman" w:hAnsi="Times New Roman"/>
          <w:color w:val="000000"/>
          <w:sz w:val="24"/>
          <w:szCs w:val="24"/>
        </w:rPr>
        <w:t>işletme</w:t>
      </w:r>
      <w:r>
        <w:rPr>
          <w:rFonts w:ascii="Times New Roman" w:hAnsi="Times New Roman"/>
          <w:color w:val="000000"/>
          <w:sz w:val="24"/>
          <w:szCs w:val="24"/>
        </w:rPr>
        <w:t xml:space="preserve">nin </w:t>
      </w:r>
      <w:r w:rsidRPr="00942409">
        <w:rPr>
          <w:rFonts w:ascii="Times New Roman" w:hAnsi="Times New Roman"/>
          <w:color w:val="000000"/>
          <w:sz w:val="24"/>
          <w:szCs w:val="24"/>
        </w:rPr>
        <w:t>tam bir finansal tablolar setini denetlemek</w:t>
      </w:r>
      <w:r>
        <w:rPr>
          <w:rFonts w:ascii="Times New Roman" w:hAnsi="Times New Roman"/>
          <w:color w:val="000000"/>
          <w:sz w:val="24"/>
          <w:szCs w:val="24"/>
        </w:rPr>
        <w:t xml:space="preserve">le </w:t>
      </w:r>
      <w:r w:rsidRPr="00942409">
        <w:rPr>
          <w:rFonts w:ascii="Times New Roman" w:hAnsi="Times New Roman"/>
          <w:color w:val="000000"/>
          <w:sz w:val="24"/>
          <w:szCs w:val="24"/>
        </w:rPr>
        <w:t xml:space="preserve">görevlendirilmediği durumlarda, tek bir finansal tablonun veya finansal tablodaki belirli bir unsurun denetimiyle ilgili BDS’lerde yer alan hükümlere uygunluk sağlanması mümkün olmayabilir. </w:t>
      </w:r>
      <w:r w:rsidRPr="009E0269">
        <w:rPr>
          <w:rFonts w:ascii="Times New Roman" w:hAnsi="Times New Roman"/>
          <w:color w:val="000000"/>
          <w:sz w:val="24"/>
          <w:szCs w:val="24"/>
        </w:rPr>
        <w:t>Bu tür durumlarda denetçi</w:t>
      </w:r>
      <w:r>
        <w:rPr>
          <w:rFonts w:ascii="Times New Roman" w:hAnsi="Times New Roman"/>
          <w:color w:val="000000"/>
          <w:sz w:val="24"/>
          <w:szCs w:val="24"/>
        </w:rPr>
        <w:t>,</w:t>
      </w:r>
      <w:r w:rsidRPr="00DE2779">
        <w:rPr>
          <w:rFonts w:ascii="Times New Roman" w:hAnsi="Times New Roman"/>
          <w:color w:val="000000"/>
          <w:sz w:val="24"/>
          <w:szCs w:val="24"/>
        </w:rPr>
        <w:t xml:space="preserve"> </w:t>
      </w:r>
      <w:r w:rsidRPr="00CF1C2D">
        <w:rPr>
          <w:rFonts w:ascii="Times New Roman" w:hAnsi="Times New Roman"/>
          <w:color w:val="000000"/>
          <w:sz w:val="24"/>
          <w:szCs w:val="24"/>
        </w:rPr>
        <w:t>genellikle</w:t>
      </w:r>
      <w:r w:rsidRPr="009E0269">
        <w:rPr>
          <w:rFonts w:ascii="Times New Roman" w:hAnsi="Times New Roman"/>
          <w:color w:val="000000"/>
          <w:sz w:val="24"/>
          <w:szCs w:val="24"/>
        </w:rPr>
        <w:t xml:space="preserve">, iç kontrol dâhil işletme ve çevresi hakkında, işletmenin tam bir finansal tablolar setini de denetleyen denetçiyle aynı </w:t>
      </w:r>
      <w:r>
        <w:rPr>
          <w:rFonts w:ascii="Times New Roman" w:hAnsi="Times New Roman"/>
          <w:color w:val="000000"/>
          <w:sz w:val="24"/>
          <w:szCs w:val="24"/>
        </w:rPr>
        <w:t>anlayışa sahip</w:t>
      </w:r>
      <w:r w:rsidRPr="00DE2779">
        <w:rPr>
          <w:rFonts w:ascii="Times New Roman" w:hAnsi="Times New Roman"/>
          <w:color w:val="000000"/>
          <w:sz w:val="24"/>
          <w:szCs w:val="24"/>
        </w:rPr>
        <w:t xml:space="preserve"> </w:t>
      </w:r>
      <w:r w:rsidRPr="009E0269">
        <w:rPr>
          <w:rFonts w:ascii="Times New Roman" w:hAnsi="Times New Roman"/>
          <w:color w:val="000000"/>
          <w:sz w:val="24"/>
          <w:szCs w:val="24"/>
        </w:rPr>
        <w:t xml:space="preserve">olmaz. </w:t>
      </w:r>
      <w:r w:rsidRPr="00942409">
        <w:rPr>
          <w:rFonts w:ascii="Times New Roman" w:hAnsi="Times New Roman"/>
          <w:color w:val="000000"/>
          <w:sz w:val="24"/>
          <w:szCs w:val="24"/>
        </w:rPr>
        <w:t>Ayrıca denetçi, muhasebe kayıtları ile diğer muhasebe bilgilerinin kalitesi</w:t>
      </w:r>
      <w:r>
        <w:rPr>
          <w:rFonts w:ascii="Times New Roman" w:hAnsi="Times New Roman"/>
          <w:color w:val="000000"/>
          <w:sz w:val="24"/>
          <w:szCs w:val="24"/>
        </w:rPr>
        <w:t xml:space="preserve"> hakkında </w:t>
      </w:r>
      <w:r w:rsidRPr="00942409">
        <w:rPr>
          <w:rFonts w:ascii="Times New Roman" w:hAnsi="Times New Roman"/>
          <w:color w:val="000000"/>
          <w:sz w:val="24"/>
          <w:szCs w:val="24"/>
        </w:rPr>
        <w:t>işletmenin tam bir finansal tablolar setinin denetimi</w:t>
      </w:r>
      <w:r>
        <w:rPr>
          <w:rFonts w:ascii="Times New Roman" w:hAnsi="Times New Roman"/>
          <w:color w:val="000000"/>
          <w:sz w:val="24"/>
          <w:szCs w:val="24"/>
        </w:rPr>
        <w:t>nde</w:t>
      </w:r>
      <w:r w:rsidRPr="00942409">
        <w:rPr>
          <w:rFonts w:ascii="Times New Roman" w:hAnsi="Times New Roman"/>
          <w:color w:val="000000"/>
          <w:sz w:val="24"/>
          <w:szCs w:val="24"/>
        </w:rPr>
        <w:t xml:space="preserve"> elde ed</w:t>
      </w:r>
      <w:r>
        <w:rPr>
          <w:rFonts w:ascii="Times New Roman" w:hAnsi="Times New Roman"/>
          <w:color w:val="000000"/>
          <w:sz w:val="24"/>
          <w:szCs w:val="24"/>
        </w:rPr>
        <w:t>ilebilecek</w:t>
      </w:r>
      <w:r w:rsidRPr="00942409">
        <w:rPr>
          <w:rFonts w:ascii="Times New Roman" w:hAnsi="Times New Roman"/>
          <w:color w:val="000000"/>
          <w:sz w:val="24"/>
          <w:szCs w:val="24"/>
        </w:rPr>
        <w:t xml:space="preserve"> denetim kanıtlarına da sahip olmaz. Bu sebeple denetçi, muhasebe kayıtlarından elde edilen denetim kanıtlarını desteklemek üzere </w:t>
      </w:r>
      <w:r>
        <w:rPr>
          <w:rFonts w:ascii="Times New Roman" w:hAnsi="Times New Roman"/>
          <w:color w:val="000000"/>
          <w:sz w:val="24"/>
          <w:szCs w:val="24"/>
        </w:rPr>
        <w:t>ilâve</w:t>
      </w:r>
      <w:r w:rsidRPr="00942409">
        <w:rPr>
          <w:rFonts w:ascii="Times New Roman" w:hAnsi="Times New Roman"/>
          <w:color w:val="000000"/>
          <w:sz w:val="24"/>
          <w:szCs w:val="24"/>
        </w:rPr>
        <w:t xml:space="preserve"> kanıtlara ihtiyaç duyabilir. Bazı BDS’ler</w:t>
      </w:r>
      <w:r>
        <w:rPr>
          <w:rFonts w:ascii="Times New Roman" w:hAnsi="Times New Roman"/>
          <w:color w:val="000000"/>
          <w:sz w:val="24"/>
          <w:szCs w:val="24"/>
        </w:rPr>
        <w:t>,</w:t>
      </w:r>
      <w:r w:rsidRPr="00942409">
        <w:rPr>
          <w:rFonts w:ascii="Times New Roman" w:hAnsi="Times New Roman"/>
          <w:color w:val="000000"/>
          <w:sz w:val="24"/>
          <w:szCs w:val="24"/>
        </w:rPr>
        <w:t xml:space="preserve"> </w:t>
      </w:r>
      <w:r>
        <w:rPr>
          <w:rFonts w:ascii="Times New Roman" w:hAnsi="Times New Roman"/>
          <w:color w:val="000000"/>
          <w:sz w:val="24"/>
          <w:szCs w:val="24"/>
        </w:rPr>
        <w:t>f</w:t>
      </w:r>
      <w:r w:rsidRPr="00942409">
        <w:rPr>
          <w:rFonts w:ascii="Times New Roman" w:hAnsi="Times New Roman"/>
          <w:color w:val="000000"/>
          <w:sz w:val="24"/>
          <w:szCs w:val="24"/>
        </w:rPr>
        <w:t>inansal tablodaki belirli bir unsurun denetiminde,</w:t>
      </w:r>
      <w:r>
        <w:rPr>
          <w:rFonts w:ascii="Times New Roman" w:hAnsi="Times New Roman"/>
          <w:color w:val="000000"/>
          <w:sz w:val="24"/>
          <w:szCs w:val="24"/>
        </w:rPr>
        <w:t xml:space="preserve"> </w:t>
      </w:r>
      <w:r w:rsidRPr="0082346A">
        <w:rPr>
          <w:rFonts w:ascii="Times New Roman" w:hAnsi="Times New Roman"/>
          <w:color w:val="000000"/>
          <w:sz w:val="24"/>
          <w:szCs w:val="24"/>
        </w:rPr>
        <w:t>denetlenen unsura kıyasen fazla bir çalışma yapılmasını gerektirmektedir. Örneğin, BDS 570’in</w:t>
      </w:r>
      <w:r w:rsidRPr="0082346A">
        <w:rPr>
          <w:rStyle w:val="FootnoteReference"/>
          <w:rFonts w:ascii="Times New Roman" w:hAnsi="Times New Roman"/>
          <w:color w:val="000000"/>
          <w:sz w:val="24"/>
          <w:szCs w:val="24"/>
        </w:rPr>
        <w:t xml:space="preserve"> </w:t>
      </w:r>
      <w:r w:rsidRPr="0082346A">
        <w:rPr>
          <w:rStyle w:val="FootnoteReference"/>
          <w:rFonts w:ascii="Times New Roman" w:hAnsi="Times New Roman"/>
          <w:color w:val="000000"/>
          <w:sz w:val="24"/>
          <w:szCs w:val="24"/>
        </w:rPr>
        <w:footnoteReference w:id="15"/>
      </w:r>
      <w:r w:rsidRPr="0082346A">
        <w:rPr>
          <w:rFonts w:ascii="Times New Roman" w:hAnsi="Times New Roman"/>
          <w:color w:val="000000"/>
          <w:sz w:val="24"/>
          <w:szCs w:val="24"/>
        </w:rPr>
        <w:t xml:space="preserve"> hükümleri</w:t>
      </w:r>
      <w:r w:rsidRPr="009E0269">
        <w:rPr>
          <w:rFonts w:ascii="Times New Roman" w:hAnsi="Times New Roman"/>
          <w:color w:val="000000"/>
          <w:sz w:val="24"/>
          <w:szCs w:val="24"/>
        </w:rPr>
        <w:t>,</w:t>
      </w:r>
      <w:r w:rsidRPr="0082346A">
        <w:rPr>
          <w:rFonts w:ascii="Times New Roman" w:hAnsi="Times New Roman"/>
          <w:color w:val="000000"/>
          <w:sz w:val="24"/>
          <w:szCs w:val="24"/>
        </w:rPr>
        <w:t xml:space="preserve"> </w:t>
      </w:r>
      <w:r w:rsidRPr="009E0269">
        <w:rPr>
          <w:rFonts w:ascii="Times New Roman" w:hAnsi="Times New Roman"/>
          <w:color w:val="000000"/>
          <w:sz w:val="24"/>
          <w:szCs w:val="24"/>
        </w:rPr>
        <w:t>alacak hesaplarına ilişkin bir tablonun</w:t>
      </w:r>
      <w:r w:rsidRPr="00060C38">
        <w:rPr>
          <w:rFonts w:ascii="Times New Roman" w:hAnsi="Times New Roman"/>
          <w:color w:val="000000"/>
          <w:sz w:val="24"/>
          <w:szCs w:val="24"/>
        </w:rPr>
        <w:t xml:space="preserve"> denetimiyle ilgili olabilir fakat ihtiyaç duyulan denetim çalışmasının b</w:t>
      </w:r>
      <w:r>
        <w:rPr>
          <w:rFonts w:ascii="Times New Roman" w:hAnsi="Times New Roman"/>
          <w:color w:val="000000"/>
          <w:sz w:val="24"/>
          <w:szCs w:val="24"/>
        </w:rPr>
        <w:t>üyüklüğünden</w:t>
      </w:r>
      <w:r w:rsidRPr="00060C38">
        <w:rPr>
          <w:rFonts w:ascii="Times New Roman" w:hAnsi="Times New Roman"/>
          <w:color w:val="000000"/>
          <w:sz w:val="24"/>
          <w:szCs w:val="24"/>
        </w:rPr>
        <w:t xml:space="preserve"> dolayı söz konusu hükümlere uygunluk sağlanması mümkün olmayabilir.</w:t>
      </w:r>
      <w:r w:rsidRPr="00942409">
        <w:rPr>
          <w:rFonts w:ascii="Times New Roman" w:hAnsi="Times New Roman"/>
          <w:color w:val="000000"/>
          <w:sz w:val="24"/>
          <w:szCs w:val="24"/>
        </w:rPr>
        <w:t xml:space="preserve"> Tek bir finansal tablonun veya finansal tablodaki belirli bir unsurun BDS’ler</w:t>
      </w:r>
      <w:r>
        <w:rPr>
          <w:rFonts w:ascii="Times New Roman" w:hAnsi="Times New Roman"/>
          <w:color w:val="000000"/>
          <w:sz w:val="24"/>
          <w:szCs w:val="24"/>
        </w:rPr>
        <w:t xml:space="preserve">e uygun olarak </w:t>
      </w:r>
      <w:r w:rsidRPr="00942409">
        <w:rPr>
          <w:rFonts w:ascii="Times New Roman" w:hAnsi="Times New Roman"/>
          <w:color w:val="000000"/>
          <w:sz w:val="24"/>
          <w:szCs w:val="24"/>
        </w:rPr>
        <w:t>denetiminin</w:t>
      </w:r>
      <w:r w:rsidRPr="00942409" w:rsidDel="00C91E09">
        <w:rPr>
          <w:rFonts w:ascii="Times New Roman" w:hAnsi="Times New Roman"/>
          <w:color w:val="000000"/>
          <w:sz w:val="24"/>
          <w:szCs w:val="24"/>
        </w:rPr>
        <w:t xml:space="preserve"> </w:t>
      </w:r>
      <w:r>
        <w:rPr>
          <w:rFonts w:ascii="Times New Roman" w:hAnsi="Times New Roman"/>
          <w:color w:val="000000"/>
          <w:sz w:val="24"/>
          <w:szCs w:val="24"/>
        </w:rPr>
        <w:t xml:space="preserve">uygulanabilir </w:t>
      </w:r>
      <w:r w:rsidRPr="00942409">
        <w:rPr>
          <w:rFonts w:ascii="Times New Roman" w:hAnsi="Times New Roman"/>
          <w:color w:val="000000"/>
          <w:sz w:val="24"/>
          <w:szCs w:val="24"/>
        </w:rPr>
        <w:t xml:space="preserve">olmadığı sonucuna </w:t>
      </w:r>
      <w:r>
        <w:rPr>
          <w:rFonts w:ascii="Times New Roman" w:hAnsi="Times New Roman"/>
          <w:color w:val="000000"/>
          <w:sz w:val="24"/>
          <w:szCs w:val="24"/>
        </w:rPr>
        <w:t>varması</w:t>
      </w:r>
      <w:r w:rsidRPr="00942409">
        <w:rPr>
          <w:rFonts w:ascii="Times New Roman" w:hAnsi="Times New Roman"/>
          <w:color w:val="000000"/>
          <w:sz w:val="24"/>
          <w:szCs w:val="24"/>
        </w:rPr>
        <w:t xml:space="preserve"> durumunda denetçi, başka </w:t>
      </w:r>
      <w:r w:rsidRPr="0082346A">
        <w:rPr>
          <w:rFonts w:ascii="Times New Roman" w:hAnsi="Times New Roman"/>
          <w:color w:val="000000"/>
          <w:sz w:val="24"/>
          <w:szCs w:val="24"/>
        </w:rPr>
        <w:t>bir denetim türünün daha</w:t>
      </w:r>
      <w:r w:rsidRPr="00942409">
        <w:rPr>
          <w:rFonts w:ascii="Times New Roman" w:hAnsi="Times New Roman"/>
          <w:color w:val="000000"/>
          <w:sz w:val="24"/>
          <w:szCs w:val="24"/>
        </w:rPr>
        <w:t xml:space="preserve"> </w:t>
      </w:r>
      <w:r>
        <w:rPr>
          <w:rFonts w:ascii="Times New Roman" w:hAnsi="Times New Roman"/>
          <w:color w:val="000000"/>
          <w:sz w:val="24"/>
          <w:szCs w:val="24"/>
        </w:rPr>
        <w:t>uygulanabilir</w:t>
      </w:r>
      <w:r w:rsidRPr="00942409">
        <w:rPr>
          <w:rFonts w:ascii="Times New Roman" w:hAnsi="Times New Roman"/>
          <w:color w:val="000000"/>
          <w:sz w:val="24"/>
          <w:szCs w:val="24"/>
        </w:rPr>
        <w:t xml:space="preserve"> olup olma</w:t>
      </w:r>
      <w:r>
        <w:rPr>
          <w:rFonts w:ascii="Times New Roman" w:hAnsi="Times New Roman"/>
          <w:color w:val="000000"/>
          <w:sz w:val="24"/>
          <w:szCs w:val="24"/>
        </w:rPr>
        <w:t xml:space="preserve">dığı </w:t>
      </w:r>
      <w:r w:rsidRPr="00942409">
        <w:rPr>
          <w:rFonts w:ascii="Times New Roman" w:hAnsi="Times New Roman"/>
          <w:color w:val="000000"/>
          <w:sz w:val="24"/>
          <w:szCs w:val="24"/>
        </w:rPr>
        <w:t>konusunu yönetimle müzakere eder.</w:t>
      </w:r>
    </w:p>
    <w:p w:rsidR="00285C13" w:rsidRPr="00942409" w:rsidRDefault="00285C13" w:rsidP="009E0269">
      <w:pPr>
        <w:spacing w:before="120" w:after="120" w:line="276" w:lineRule="auto"/>
        <w:ind w:right="142"/>
        <w:jc w:val="both"/>
        <w:rPr>
          <w:rFonts w:ascii="Times New Roman" w:hAnsi="Times New Roman"/>
          <w:color w:val="000000"/>
          <w:sz w:val="24"/>
          <w:szCs w:val="24"/>
        </w:rPr>
      </w:pPr>
      <w:r w:rsidRPr="00942409">
        <w:rPr>
          <w:rFonts w:ascii="Times New Roman" w:hAnsi="Times New Roman"/>
          <w:i/>
          <w:sz w:val="24"/>
          <w:szCs w:val="24"/>
        </w:rPr>
        <w:t xml:space="preserve">Finansal Raporlama Çerçevesinin Kabul Edilebilirliği </w:t>
      </w:r>
      <w:r w:rsidRPr="00942409">
        <w:rPr>
          <w:rFonts w:ascii="Times New Roman" w:hAnsi="Times New Roman"/>
          <w:sz w:val="24"/>
          <w:szCs w:val="24"/>
        </w:rPr>
        <w:t>(</w:t>
      </w:r>
      <w:r w:rsidRPr="00942409">
        <w:rPr>
          <w:rFonts w:ascii="Times New Roman" w:hAnsi="Times New Roman"/>
          <w:color w:val="000000"/>
          <w:sz w:val="24"/>
          <w:szCs w:val="24"/>
        </w:rPr>
        <w:t xml:space="preserve">Bakınız: 8 inci paragraf) </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A7. </w:t>
      </w:r>
      <w:r w:rsidRPr="00942409">
        <w:rPr>
          <w:rFonts w:ascii="Times New Roman" w:hAnsi="Times New Roman"/>
          <w:sz w:val="24"/>
          <w:szCs w:val="24"/>
        </w:rPr>
        <w:tab/>
      </w:r>
      <w:r w:rsidRPr="00942409">
        <w:rPr>
          <w:rFonts w:ascii="Times New Roman" w:hAnsi="Times New Roman"/>
          <w:color w:val="000000"/>
          <w:sz w:val="24"/>
          <w:szCs w:val="24"/>
        </w:rPr>
        <w:t>Tek bir finansal tablo veya finansal tablodaki belirli bir unsur, tam bir finansal tablolar setinin hazırlanması</w:t>
      </w:r>
      <w:r>
        <w:rPr>
          <w:rFonts w:ascii="Times New Roman" w:hAnsi="Times New Roman"/>
          <w:color w:val="000000"/>
          <w:sz w:val="24"/>
          <w:szCs w:val="24"/>
        </w:rPr>
        <w:t xml:space="preserve"> için </w:t>
      </w:r>
      <w:r w:rsidRPr="00942409">
        <w:rPr>
          <w:rFonts w:ascii="Times New Roman" w:hAnsi="Times New Roman"/>
          <w:color w:val="000000"/>
          <w:sz w:val="24"/>
          <w:szCs w:val="24"/>
        </w:rPr>
        <w:t>yetkili veya tanınmış bir standart belirleyici kurum tarafından oluşturulan bir finansal raporlama çerçevesini (örneğin, Türkiye Muhasebe Standartları</w:t>
      </w:r>
      <w:r>
        <w:rPr>
          <w:rFonts w:ascii="Times New Roman" w:hAnsi="Times New Roman"/>
          <w:color w:val="000000"/>
          <w:sz w:val="24"/>
          <w:szCs w:val="24"/>
        </w:rPr>
        <w:t>nı</w:t>
      </w:r>
      <w:r w:rsidRPr="00942409">
        <w:rPr>
          <w:rFonts w:ascii="Times New Roman" w:hAnsi="Times New Roman"/>
          <w:color w:val="000000"/>
          <w:sz w:val="24"/>
          <w:szCs w:val="24"/>
        </w:rPr>
        <w:t xml:space="preserve">) temel alan geçerli </w:t>
      </w:r>
      <w:r>
        <w:rPr>
          <w:rFonts w:ascii="Times New Roman" w:hAnsi="Times New Roman"/>
          <w:color w:val="000000"/>
          <w:sz w:val="24"/>
          <w:szCs w:val="24"/>
        </w:rPr>
        <w:t xml:space="preserve">bir </w:t>
      </w:r>
      <w:r w:rsidRPr="00942409">
        <w:rPr>
          <w:rFonts w:ascii="Times New Roman" w:hAnsi="Times New Roman"/>
          <w:color w:val="000000"/>
          <w:sz w:val="24"/>
          <w:szCs w:val="24"/>
        </w:rPr>
        <w:t xml:space="preserve">finansal raporlama çerçevesine uygun olarak hazırlanmış </w:t>
      </w:r>
      <w:r w:rsidRPr="00B52F26">
        <w:rPr>
          <w:rFonts w:ascii="Times New Roman" w:hAnsi="Times New Roman"/>
          <w:color w:val="000000"/>
          <w:sz w:val="24"/>
          <w:szCs w:val="24"/>
        </w:rPr>
        <w:t>olabilir. B</w:t>
      </w:r>
      <w:r w:rsidRPr="009E0269">
        <w:rPr>
          <w:rFonts w:ascii="Times New Roman" w:hAnsi="Times New Roman"/>
          <w:color w:val="000000"/>
          <w:sz w:val="24"/>
          <w:szCs w:val="24"/>
        </w:rPr>
        <w:t>u durumda, geçerli çerçevenin kabul edilebilirliğinin belirlenmesi, bu çerçevenin</w:t>
      </w:r>
      <w:r w:rsidRPr="00B52F26">
        <w:rPr>
          <w:rFonts w:ascii="Times New Roman" w:hAnsi="Times New Roman"/>
          <w:color w:val="000000"/>
          <w:sz w:val="24"/>
          <w:szCs w:val="24"/>
        </w:rPr>
        <w:t>;</w:t>
      </w:r>
      <w:r w:rsidRPr="009E0269">
        <w:rPr>
          <w:rFonts w:ascii="Times New Roman" w:hAnsi="Times New Roman"/>
          <w:color w:val="000000"/>
          <w:sz w:val="24"/>
          <w:szCs w:val="24"/>
        </w:rPr>
        <w:t xml:space="preserve"> temel aldığı çerçevedeki, </w:t>
      </w:r>
      <w:r w:rsidRPr="00B52F26">
        <w:rPr>
          <w:rFonts w:ascii="Times New Roman" w:hAnsi="Times New Roman"/>
          <w:color w:val="000000"/>
          <w:sz w:val="24"/>
          <w:szCs w:val="24"/>
        </w:rPr>
        <w:t xml:space="preserve">yeterli açıklamalar sağlayan </w:t>
      </w:r>
      <w:r w:rsidRPr="009E0269">
        <w:rPr>
          <w:rFonts w:ascii="Times New Roman" w:hAnsi="Times New Roman"/>
          <w:color w:val="000000"/>
          <w:sz w:val="24"/>
          <w:szCs w:val="24"/>
        </w:rPr>
        <w:t xml:space="preserve">tek bir finansal tablonun veya finansal tablodaki belirli bir unsurun sunumuyla ilgili tüm hükümleri içerip içermediğinin dikkate alınmasını </w:t>
      </w:r>
      <w:r>
        <w:rPr>
          <w:rFonts w:ascii="Times New Roman" w:hAnsi="Times New Roman"/>
          <w:color w:val="000000"/>
          <w:sz w:val="24"/>
          <w:szCs w:val="24"/>
        </w:rPr>
        <w:t>gerektirebilir</w:t>
      </w:r>
      <w:r w:rsidRPr="009E0269">
        <w:rPr>
          <w:rFonts w:ascii="Times New Roman" w:hAnsi="Times New Roman"/>
          <w:color w:val="000000"/>
          <w:sz w:val="24"/>
          <w:szCs w:val="24"/>
        </w:rPr>
        <w:t>.</w:t>
      </w:r>
      <w:r w:rsidRPr="00942409">
        <w:rPr>
          <w:rFonts w:ascii="Times New Roman" w:hAnsi="Times New Roman"/>
          <w:color w:val="000000"/>
          <w:sz w:val="24"/>
          <w:szCs w:val="24"/>
        </w:rPr>
        <w:t xml:space="preserve"> </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i/>
          <w:sz w:val="24"/>
          <w:szCs w:val="24"/>
        </w:rPr>
        <w:t>Görüşün Şekli</w:t>
      </w:r>
      <w:r w:rsidRPr="00942409">
        <w:rPr>
          <w:rFonts w:ascii="Times New Roman" w:hAnsi="Times New Roman"/>
          <w:sz w:val="24"/>
          <w:szCs w:val="24"/>
        </w:rPr>
        <w:t xml:space="preserve"> </w:t>
      </w:r>
      <w:r w:rsidRPr="00942409">
        <w:rPr>
          <w:rFonts w:ascii="Times New Roman" w:hAnsi="Times New Roman"/>
          <w:color w:val="000000"/>
          <w:sz w:val="24"/>
          <w:szCs w:val="24"/>
        </w:rPr>
        <w:t xml:space="preserve">(Bakınız: 9 uncu paragraf) </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A8. </w:t>
      </w:r>
      <w:r w:rsidRPr="00942409">
        <w:rPr>
          <w:rFonts w:ascii="Times New Roman" w:hAnsi="Times New Roman"/>
          <w:sz w:val="24"/>
          <w:szCs w:val="24"/>
        </w:rPr>
        <w:tab/>
        <w:t>D</w:t>
      </w:r>
      <w:r w:rsidRPr="00942409">
        <w:rPr>
          <w:rFonts w:ascii="Times New Roman" w:hAnsi="Times New Roman"/>
          <w:color w:val="000000"/>
          <w:sz w:val="24"/>
          <w:szCs w:val="24"/>
        </w:rPr>
        <w:t xml:space="preserve">enetçi tarafından verilen görüşün şekli, geçerli finansal raporlama çerçevesine ve ilgili mevzuata bağlıdır. </w:t>
      </w:r>
      <w:r w:rsidRPr="00942409">
        <w:rPr>
          <w:rStyle w:val="FootnoteReference"/>
          <w:rFonts w:ascii="Times New Roman" w:hAnsi="Times New Roman"/>
          <w:color w:val="000000"/>
          <w:sz w:val="24"/>
          <w:szCs w:val="24"/>
        </w:rPr>
        <w:footnoteReference w:id="16"/>
      </w:r>
      <w:r w:rsidRPr="00942409">
        <w:rPr>
          <w:rFonts w:ascii="Times New Roman" w:hAnsi="Times New Roman"/>
          <w:color w:val="000000"/>
          <w:sz w:val="24"/>
          <w:szCs w:val="24"/>
        </w:rPr>
        <w:t xml:space="preserve"> BDS 700</w:t>
      </w:r>
      <w:r w:rsidRPr="00942409">
        <w:rPr>
          <w:rStyle w:val="FootnoteReference"/>
          <w:rFonts w:ascii="Times New Roman" w:hAnsi="Times New Roman"/>
          <w:color w:val="000000"/>
          <w:sz w:val="24"/>
          <w:szCs w:val="24"/>
        </w:rPr>
        <w:footnoteReference w:id="17"/>
      </w:r>
      <w:r w:rsidRPr="00942409">
        <w:rPr>
          <w:rFonts w:ascii="Times New Roman" w:hAnsi="Times New Roman"/>
          <w:color w:val="000000"/>
          <w:sz w:val="24"/>
          <w:szCs w:val="24"/>
        </w:rPr>
        <w:t xml:space="preserve"> uyarınca:</w:t>
      </w:r>
    </w:p>
    <w:p w:rsidR="00285C13" w:rsidRPr="00942409" w:rsidRDefault="00285C13" w:rsidP="009E0269">
      <w:pPr>
        <w:pStyle w:val="ListParagraph"/>
        <w:numPr>
          <w:ilvl w:val="0"/>
          <w:numId w:val="5"/>
        </w:numPr>
        <w:autoSpaceDE w:val="0"/>
        <w:autoSpaceDN w:val="0"/>
        <w:adjustRightInd w:val="0"/>
        <w:spacing w:before="120" w:after="120" w:line="276" w:lineRule="auto"/>
        <w:ind w:left="1418" w:right="142" w:hanging="709"/>
        <w:contextualSpacing w:val="0"/>
        <w:jc w:val="both"/>
        <w:rPr>
          <w:rFonts w:ascii="Times New Roman" w:hAnsi="Times New Roman"/>
          <w:color w:val="000000"/>
          <w:sz w:val="24"/>
          <w:szCs w:val="24"/>
        </w:rPr>
      </w:pPr>
      <w:r w:rsidRPr="00942409">
        <w:rPr>
          <w:rFonts w:ascii="Times New Roman" w:hAnsi="Times New Roman"/>
          <w:color w:val="000000"/>
          <w:sz w:val="24"/>
          <w:szCs w:val="24"/>
        </w:rPr>
        <w:t xml:space="preserve">Bir gerçeğe uygun sunum çerçevesine </w:t>
      </w:r>
      <w:r>
        <w:rPr>
          <w:rFonts w:ascii="Times New Roman" w:hAnsi="Times New Roman"/>
          <w:color w:val="000000"/>
          <w:sz w:val="24"/>
          <w:szCs w:val="24"/>
        </w:rPr>
        <w:t xml:space="preserve">uygun olarak </w:t>
      </w:r>
      <w:r w:rsidRPr="00942409">
        <w:rPr>
          <w:rFonts w:ascii="Times New Roman" w:hAnsi="Times New Roman"/>
          <w:color w:val="000000"/>
          <w:sz w:val="24"/>
          <w:szCs w:val="24"/>
        </w:rPr>
        <w:t>hazırlan</w:t>
      </w:r>
      <w:r>
        <w:rPr>
          <w:rFonts w:ascii="Times New Roman" w:hAnsi="Times New Roman"/>
          <w:color w:val="000000"/>
          <w:sz w:val="24"/>
          <w:szCs w:val="24"/>
        </w:rPr>
        <w:t xml:space="preserve">an </w:t>
      </w:r>
      <w:r w:rsidRPr="00942409">
        <w:rPr>
          <w:rFonts w:ascii="Times New Roman" w:hAnsi="Times New Roman"/>
          <w:color w:val="000000"/>
          <w:sz w:val="24"/>
          <w:szCs w:val="24"/>
        </w:rPr>
        <w:t>tam bir finansal tablolar setine ilişkin olumlu görüş verilirken, mevzuat tarafından aksi zorunlu kılınmadıkça</w:t>
      </w:r>
      <w:r>
        <w:rPr>
          <w:rFonts w:ascii="Times New Roman" w:hAnsi="Times New Roman"/>
          <w:color w:val="000000"/>
          <w:sz w:val="24"/>
          <w:szCs w:val="24"/>
        </w:rPr>
        <w:t>,</w:t>
      </w:r>
      <w:r w:rsidRPr="00942409">
        <w:rPr>
          <w:rFonts w:ascii="Times New Roman" w:hAnsi="Times New Roman"/>
          <w:color w:val="000000"/>
          <w:sz w:val="24"/>
          <w:szCs w:val="24"/>
        </w:rPr>
        <w:t xml:space="preserve"> denetçi görüşünde aşağıdaki ifadelerden biri kullanılır:</w:t>
      </w:r>
    </w:p>
    <w:p w:rsidR="00285C13" w:rsidRPr="00942409" w:rsidRDefault="00285C13">
      <w:pPr>
        <w:pStyle w:val="ListParagraph"/>
        <w:numPr>
          <w:ilvl w:val="0"/>
          <w:numId w:val="6"/>
        </w:numPr>
        <w:spacing w:before="120" w:after="120" w:line="276" w:lineRule="auto"/>
        <w:ind w:left="1985" w:hanging="284"/>
        <w:contextualSpacing w:val="0"/>
        <w:jc w:val="both"/>
        <w:rPr>
          <w:rFonts w:ascii="Times New Roman" w:hAnsi="Times New Roman"/>
          <w:color w:val="000000"/>
          <w:sz w:val="24"/>
          <w:szCs w:val="24"/>
        </w:rPr>
      </w:pPr>
      <w:r w:rsidRPr="00942409">
        <w:rPr>
          <w:rFonts w:ascii="Times New Roman" w:hAnsi="Times New Roman"/>
          <w:color w:val="000000"/>
          <w:sz w:val="24"/>
          <w:szCs w:val="24"/>
        </w:rPr>
        <w:t>Finansal tablolar</w:t>
      </w:r>
      <w:r>
        <w:rPr>
          <w:rFonts w:ascii="Times New Roman" w:hAnsi="Times New Roman"/>
          <w:color w:val="000000"/>
          <w:sz w:val="24"/>
          <w:szCs w:val="24"/>
        </w:rPr>
        <w:t>,</w:t>
      </w:r>
      <w:r w:rsidRPr="00942409">
        <w:rPr>
          <w:rFonts w:ascii="Times New Roman" w:hAnsi="Times New Roman"/>
          <w:color w:val="000000"/>
          <w:sz w:val="24"/>
          <w:szCs w:val="24"/>
        </w:rPr>
        <w:t xml:space="preserve"> … [geçerli finansal raporlama çerçevesi]’ne uygun olarak tüm önemli yönleriyle gerçeğe uygun bir biçimde sunmaktadır veya</w:t>
      </w:r>
    </w:p>
    <w:p w:rsidR="00285C13" w:rsidRPr="00942409" w:rsidRDefault="00285C13" w:rsidP="009E0269">
      <w:pPr>
        <w:pStyle w:val="ListParagraph"/>
        <w:numPr>
          <w:ilvl w:val="0"/>
          <w:numId w:val="6"/>
        </w:numPr>
        <w:autoSpaceDE w:val="0"/>
        <w:autoSpaceDN w:val="0"/>
        <w:adjustRightInd w:val="0"/>
        <w:spacing w:before="120" w:after="120" w:line="276" w:lineRule="auto"/>
        <w:ind w:left="1984" w:right="142" w:hanging="283"/>
        <w:contextualSpacing w:val="0"/>
        <w:jc w:val="both"/>
        <w:rPr>
          <w:rFonts w:ascii="Times New Roman" w:hAnsi="Times New Roman"/>
          <w:color w:val="000000"/>
          <w:sz w:val="24"/>
          <w:szCs w:val="24"/>
        </w:rPr>
      </w:pPr>
      <w:r w:rsidRPr="00942409">
        <w:rPr>
          <w:rFonts w:ascii="Times New Roman" w:hAnsi="Times New Roman"/>
          <w:color w:val="000000"/>
          <w:sz w:val="24"/>
          <w:szCs w:val="24"/>
        </w:rPr>
        <w:t>Finansal tablolar</w:t>
      </w:r>
      <w:r>
        <w:rPr>
          <w:rFonts w:ascii="Times New Roman" w:hAnsi="Times New Roman"/>
          <w:color w:val="000000"/>
          <w:sz w:val="24"/>
          <w:szCs w:val="24"/>
        </w:rPr>
        <w:t>,</w:t>
      </w:r>
      <w:r w:rsidRPr="00942409">
        <w:rPr>
          <w:rFonts w:ascii="Times New Roman" w:hAnsi="Times New Roman"/>
          <w:color w:val="000000"/>
          <w:sz w:val="24"/>
          <w:szCs w:val="24"/>
        </w:rPr>
        <w:t xml:space="preserve"> … [geçerli finansal raporlama çerçevesi]’ne uygun olarak doğru ve gerçeğe uygun bir görünüm sağlamaktadır ve</w:t>
      </w:r>
    </w:p>
    <w:p w:rsidR="00285C13" w:rsidRPr="00942409" w:rsidRDefault="00285C13" w:rsidP="009E0269">
      <w:pPr>
        <w:pStyle w:val="ListParagraph"/>
        <w:numPr>
          <w:ilvl w:val="0"/>
          <w:numId w:val="5"/>
        </w:numPr>
        <w:autoSpaceDE w:val="0"/>
        <w:autoSpaceDN w:val="0"/>
        <w:adjustRightInd w:val="0"/>
        <w:spacing w:before="120" w:after="120" w:line="276" w:lineRule="auto"/>
        <w:ind w:left="1418" w:right="142" w:hanging="709"/>
        <w:contextualSpacing w:val="0"/>
        <w:jc w:val="both"/>
        <w:rPr>
          <w:rFonts w:ascii="Times New Roman" w:hAnsi="Times New Roman"/>
          <w:color w:val="000000"/>
          <w:sz w:val="24"/>
          <w:szCs w:val="24"/>
        </w:rPr>
      </w:pPr>
      <w:r w:rsidRPr="00942409">
        <w:rPr>
          <w:rFonts w:ascii="Times New Roman" w:hAnsi="Times New Roman"/>
          <w:color w:val="000000"/>
          <w:sz w:val="24"/>
          <w:szCs w:val="24"/>
        </w:rPr>
        <w:t xml:space="preserve">Uygunluk çerçevesi uyarınca hazırlanmış olan finansal tablolara ilişkin olumlu görüş verilirken, denetçi görüşünde finansal tabloların tüm önemli yönleriyle [geçerli finansal raporlama çerçevesine] uygun olarak hazırlandığı belirtilir. </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A9. </w:t>
      </w:r>
      <w:r w:rsidRPr="00942409">
        <w:rPr>
          <w:rFonts w:ascii="Times New Roman" w:hAnsi="Times New Roman"/>
          <w:sz w:val="24"/>
          <w:szCs w:val="24"/>
        </w:rPr>
        <w:tab/>
      </w:r>
      <w:r w:rsidRPr="00942409">
        <w:rPr>
          <w:rFonts w:ascii="Times New Roman" w:hAnsi="Times New Roman"/>
          <w:color w:val="000000"/>
          <w:sz w:val="24"/>
          <w:szCs w:val="24"/>
        </w:rPr>
        <w:t>Tek bir finansal tablo veya finansal tablodaki belirli bir unsur söz konusu olduğunda, geçerli finansal raporlama çerçevesi</w:t>
      </w:r>
      <w:r>
        <w:rPr>
          <w:rFonts w:ascii="Times New Roman" w:hAnsi="Times New Roman"/>
          <w:color w:val="000000"/>
          <w:sz w:val="24"/>
          <w:szCs w:val="24"/>
        </w:rPr>
        <w:t>,</w:t>
      </w:r>
      <w:r w:rsidRPr="00942409">
        <w:rPr>
          <w:rFonts w:ascii="Times New Roman" w:hAnsi="Times New Roman"/>
          <w:color w:val="000000"/>
          <w:sz w:val="24"/>
          <w:szCs w:val="24"/>
        </w:rPr>
        <w:t xml:space="preserve"> söz konusu finansal tablonun veya unsurun sunum</w:t>
      </w:r>
      <w:r>
        <w:rPr>
          <w:rFonts w:ascii="Times New Roman" w:hAnsi="Times New Roman"/>
          <w:color w:val="000000"/>
          <w:sz w:val="24"/>
          <w:szCs w:val="24"/>
        </w:rPr>
        <w:t>unu</w:t>
      </w:r>
      <w:r w:rsidRPr="00942409">
        <w:rPr>
          <w:rFonts w:ascii="Times New Roman" w:hAnsi="Times New Roman"/>
          <w:color w:val="000000"/>
          <w:sz w:val="24"/>
          <w:szCs w:val="24"/>
        </w:rPr>
        <w:t xml:space="preserve"> açık </w:t>
      </w:r>
      <w:r>
        <w:rPr>
          <w:rFonts w:ascii="Times New Roman" w:hAnsi="Times New Roman"/>
          <w:color w:val="000000"/>
          <w:sz w:val="24"/>
          <w:szCs w:val="24"/>
        </w:rPr>
        <w:t xml:space="preserve">bir </w:t>
      </w:r>
      <w:r w:rsidRPr="00942409">
        <w:rPr>
          <w:rFonts w:ascii="Times New Roman" w:hAnsi="Times New Roman"/>
          <w:color w:val="000000"/>
          <w:sz w:val="24"/>
          <w:szCs w:val="24"/>
        </w:rPr>
        <w:t>biçimde ele almıyor olabilir. Bu durum</w:t>
      </w:r>
      <w:r>
        <w:rPr>
          <w:rFonts w:ascii="Times New Roman" w:hAnsi="Times New Roman"/>
          <w:color w:val="000000"/>
          <w:sz w:val="24"/>
          <w:szCs w:val="24"/>
        </w:rPr>
        <w:t>,</w:t>
      </w:r>
      <w:r w:rsidRPr="00942409">
        <w:rPr>
          <w:rFonts w:ascii="Times New Roman" w:hAnsi="Times New Roman"/>
          <w:color w:val="000000"/>
          <w:sz w:val="24"/>
          <w:szCs w:val="24"/>
        </w:rPr>
        <w:t xml:space="preserve"> geçerli finansal raporlama çerçevesi, tam bir finansal tablolar setinin hazırlanması için yetkili veya tanınmış bir standart belirleyici kurum tarafından oluşturulan</w:t>
      </w:r>
      <w:r>
        <w:rPr>
          <w:rFonts w:ascii="Times New Roman" w:hAnsi="Times New Roman"/>
          <w:color w:val="000000"/>
          <w:sz w:val="24"/>
          <w:szCs w:val="24"/>
        </w:rPr>
        <w:t xml:space="preserve"> bir</w:t>
      </w:r>
      <w:r w:rsidRPr="00942409">
        <w:rPr>
          <w:rFonts w:ascii="Times New Roman" w:hAnsi="Times New Roman"/>
          <w:color w:val="000000"/>
          <w:sz w:val="24"/>
          <w:szCs w:val="24"/>
        </w:rPr>
        <w:t xml:space="preserve"> finansal raporlama çerçevesini (örneğin, Türkiye Muhasebe Standartları</w:t>
      </w:r>
      <w:r>
        <w:rPr>
          <w:rFonts w:ascii="Times New Roman" w:hAnsi="Times New Roman"/>
          <w:color w:val="000000"/>
          <w:sz w:val="24"/>
          <w:szCs w:val="24"/>
        </w:rPr>
        <w:t>nı</w:t>
      </w:r>
      <w:r w:rsidRPr="00942409">
        <w:rPr>
          <w:rFonts w:ascii="Times New Roman" w:hAnsi="Times New Roman"/>
          <w:color w:val="000000"/>
          <w:sz w:val="24"/>
          <w:szCs w:val="24"/>
        </w:rPr>
        <w:t xml:space="preserve">) temel aldığında söz konusu olabilir. </w:t>
      </w:r>
      <w:r>
        <w:rPr>
          <w:rFonts w:ascii="Times New Roman" w:hAnsi="Times New Roman"/>
          <w:color w:val="000000"/>
          <w:sz w:val="24"/>
          <w:szCs w:val="24"/>
        </w:rPr>
        <w:t>Dolayısıyla</w:t>
      </w:r>
      <w:r w:rsidRPr="00942409">
        <w:rPr>
          <w:rFonts w:ascii="Times New Roman" w:hAnsi="Times New Roman"/>
          <w:color w:val="000000"/>
          <w:sz w:val="24"/>
          <w:szCs w:val="24"/>
        </w:rPr>
        <w:t xml:space="preserve"> </w:t>
      </w:r>
      <w:r>
        <w:rPr>
          <w:rFonts w:ascii="Times New Roman" w:hAnsi="Times New Roman"/>
          <w:color w:val="000000"/>
          <w:sz w:val="24"/>
          <w:szCs w:val="24"/>
        </w:rPr>
        <w:t>d</w:t>
      </w:r>
      <w:r w:rsidRPr="00942409">
        <w:rPr>
          <w:rFonts w:ascii="Times New Roman" w:hAnsi="Times New Roman"/>
          <w:color w:val="000000"/>
          <w:sz w:val="24"/>
          <w:szCs w:val="24"/>
        </w:rPr>
        <w:t>enetçi, beklenen görüş şeklinin</w:t>
      </w:r>
      <w:r>
        <w:rPr>
          <w:rFonts w:ascii="Times New Roman" w:hAnsi="Times New Roman"/>
          <w:color w:val="000000"/>
          <w:sz w:val="24"/>
          <w:szCs w:val="24"/>
        </w:rPr>
        <w:t>,</w:t>
      </w:r>
      <w:r w:rsidRPr="00942409">
        <w:rPr>
          <w:rFonts w:ascii="Times New Roman" w:hAnsi="Times New Roman"/>
          <w:color w:val="000000"/>
          <w:sz w:val="24"/>
          <w:szCs w:val="24"/>
        </w:rPr>
        <w:t xml:space="preserve"> geçerli finansal raporlama çerçevesi </w:t>
      </w:r>
      <w:r w:rsidRPr="005914B3">
        <w:rPr>
          <w:rFonts w:ascii="Times New Roman" w:hAnsi="Times New Roman"/>
          <w:color w:val="000000"/>
          <w:sz w:val="24"/>
          <w:szCs w:val="24"/>
        </w:rPr>
        <w:t>göz önüne alındığında uygun olup olmadığını değerlendirir. Denetçinin, “tüm ön</w:t>
      </w:r>
      <w:r w:rsidRPr="00942409">
        <w:rPr>
          <w:rFonts w:ascii="Times New Roman" w:hAnsi="Times New Roman"/>
          <w:color w:val="000000"/>
          <w:sz w:val="24"/>
          <w:szCs w:val="24"/>
        </w:rPr>
        <w:t>emli yönleriyle gerçeğe uygun bir biçimde sunmaktadır” veya “doğru ve gerçeğe uygun bir görünüm sağlamaktadır” ifadelerinin denetçi görüşünde kullanılıp kullanılmayacağına ilişkin değerlendirmesini etkileyebilecek faktörler aşağıdakileri içerir:</w:t>
      </w:r>
    </w:p>
    <w:p w:rsidR="00285C13" w:rsidRPr="00942409" w:rsidRDefault="00285C13">
      <w:pPr>
        <w:pStyle w:val="ListParagraph"/>
        <w:numPr>
          <w:ilvl w:val="0"/>
          <w:numId w:val="7"/>
        </w:numPr>
        <w:spacing w:before="120" w:after="120" w:line="276" w:lineRule="auto"/>
        <w:ind w:left="1418" w:hanging="720"/>
        <w:contextualSpacing w:val="0"/>
        <w:jc w:val="both"/>
        <w:rPr>
          <w:rFonts w:ascii="Times New Roman" w:hAnsi="Times New Roman"/>
          <w:color w:val="000000"/>
          <w:sz w:val="24"/>
          <w:szCs w:val="24"/>
        </w:rPr>
      </w:pPr>
      <w:r w:rsidRPr="00942409">
        <w:rPr>
          <w:rFonts w:ascii="Times New Roman" w:hAnsi="Times New Roman"/>
          <w:color w:val="000000"/>
          <w:sz w:val="24"/>
          <w:szCs w:val="24"/>
        </w:rPr>
        <w:t>Geçerli finansal raporlama çerçevesinin açık veya zımni bir şekilde tam bir finansal tablolar setinin hazırlanmasıyla sınırlandırılıp sınırlandırılmadığı.</w:t>
      </w:r>
    </w:p>
    <w:p w:rsidR="00285C13" w:rsidRPr="00942409" w:rsidRDefault="00285C13">
      <w:pPr>
        <w:pStyle w:val="ListParagraph"/>
        <w:numPr>
          <w:ilvl w:val="0"/>
          <w:numId w:val="7"/>
        </w:numPr>
        <w:spacing w:before="120" w:after="120" w:line="276" w:lineRule="auto"/>
        <w:ind w:left="1418" w:hanging="720"/>
        <w:contextualSpacing w:val="0"/>
        <w:jc w:val="both"/>
        <w:rPr>
          <w:rFonts w:ascii="Times New Roman" w:hAnsi="Times New Roman"/>
          <w:color w:val="000000"/>
          <w:sz w:val="24"/>
          <w:szCs w:val="24"/>
        </w:rPr>
      </w:pPr>
      <w:r w:rsidRPr="00942409">
        <w:rPr>
          <w:rFonts w:ascii="Times New Roman" w:hAnsi="Times New Roman"/>
          <w:color w:val="000000"/>
          <w:sz w:val="24"/>
          <w:szCs w:val="24"/>
        </w:rPr>
        <w:t>Tek bir finansal tablonun veya finansal tablodaki belirli bir unsurun:</w:t>
      </w:r>
    </w:p>
    <w:p w:rsidR="00285C13" w:rsidRPr="009E0269" w:rsidRDefault="00285C13" w:rsidP="009E0269">
      <w:pPr>
        <w:pStyle w:val="ListParagraph"/>
        <w:numPr>
          <w:ilvl w:val="0"/>
          <w:numId w:val="9"/>
        </w:numPr>
        <w:autoSpaceDE w:val="0"/>
        <w:autoSpaceDN w:val="0"/>
        <w:adjustRightInd w:val="0"/>
        <w:spacing w:before="120" w:after="120" w:line="276" w:lineRule="auto"/>
        <w:ind w:left="1985" w:right="142" w:hanging="567"/>
        <w:contextualSpacing w:val="0"/>
        <w:jc w:val="both"/>
        <w:rPr>
          <w:rFonts w:ascii="Times New Roman" w:hAnsi="Times New Roman"/>
          <w:color w:val="000000"/>
          <w:sz w:val="24"/>
          <w:szCs w:val="24"/>
        </w:rPr>
      </w:pPr>
      <w:r>
        <w:rPr>
          <w:rFonts w:ascii="Times New Roman" w:hAnsi="Times New Roman"/>
          <w:color w:val="000000"/>
          <w:sz w:val="24"/>
          <w:szCs w:val="24"/>
        </w:rPr>
        <w:t>B</w:t>
      </w:r>
      <w:r w:rsidRPr="002A5AC6">
        <w:rPr>
          <w:rFonts w:ascii="Times New Roman" w:hAnsi="Times New Roman"/>
          <w:color w:val="000000"/>
          <w:sz w:val="24"/>
          <w:szCs w:val="24"/>
        </w:rPr>
        <w:t xml:space="preserve">elirli bir finansal tablo veya belirli bir unsurla ve ilgili dipnotlar dâhil </w:t>
      </w:r>
      <w:r>
        <w:rPr>
          <w:rFonts w:ascii="Times New Roman" w:hAnsi="Times New Roman"/>
          <w:color w:val="000000"/>
          <w:sz w:val="24"/>
          <w:szCs w:val="24"/>
        </w:rPr>
        <w:t xml:space="preserve">söz konusu </w:t>
      </w:r>
      <w:r w:rsidRPr="002A5AC6">
        <w:rPr>
          <w:rFonts w:ascii="Times New Roman" w:hAnsi="Times New Roman"/>
          <w:color w:val="000000"/>
          <w:sz w:val="24"/>
          <w:szCs w:val="24"/>
        </w:rPr>
        <w:t>finansal tablonun veya unsurun sunumu</w:t>
      </w:r>
      <w:r>
        <w:rPr>
          <w:rFonts w:ascii="Times New Roman" w:hAnsi="Times New Roman"/>
          <w:color w:val="000000"/>
          <w:sz w:val="24"/>
          <w:szCs w:val="24"/>
        </w:rPr>
        <w:t>yla</w:t>
      </w:r>
      <w:r w:rsidRPr="002A5AC6">
        <w:rPr>
          <w:rFonts w:ascii="Times New Roman" w:hAnsi="Times New Roman"/>
          <w:color w:val="000000"/>
          <w:sz w:val="24"/>
          <w:szCs w:val="24"/>
        </w:rPr>
        <w:t xml:space="preserve"> ilgili</w:t>
      </w:r>
      <w:r w:rsidRPr="009E0269">
        <w:rPr>
          <w:rFonts w:ascii="Times New Roman" w:hAnsi="Times New Roman"/>
          <w:color w:val="000000"/>
          <w:sz w:val="24"/>
          <w:szCs w:val="24"/>
        </w:rPr>
        <w:t xml:space="preserve"> </w:t>
      </w:r>
      <w:r>
        <w:rPr>
          <w:rFonts w:ascii="Times New Roman" w:hAnsi="Times New Roman"/>
          <w:color w:val="000000"/>
          <w:sz w:val="24"/>
          <w:szCs w:val="24"/>
        </w:rPr>
        <w:t>olarak ç</w:t>
      </w:r>
      <w:r w:rsidRPr="00F77C99">
        <w:rPr>
          <w:rFonts w:ascii="Times New Roman" w:hAnsi="Times New Roman"/>
          <w:color w:val="000000"/>
          <w:sz w:val="24"/>
          <w:szCs w:val="24"/>
        </w:rPr>
        <w:t>erçevede</w:t>
      </w:r>
      <w:r>
        <w:rPr>
          <w:rFonts w:ascii="Times New Roman" w:hAnsi="Times New Roman"/>
          <w:color w:val="000000"/>
          <w:sz w:val="24"/>
          <w:szCs w:val="24"/>
        </w:rPr>
        <w:t xml:space="preserve"> yer alan</w:t>
      </w:r>
      <w:r w:rsidRPr="00F77C99">
        <w:rPr>
          <w:rFonts w:ascii="Times New Roman" w:hAnsi="Times New Roman"/>
          <w:color w:val="000000"/>
          <w:sz w:val="24"/>
          <w:szCs w:val="24"/>
        </w:rPr>
        <w:t xml:space="preserve"> </w:t>
      </w:r>
      <w:r w:rsidRPr="009E0269">
        <w:rPr>
          <w:rFonts w:ascii="Times New Roman" w:hAnsi="Times New Roman"/>
          <w:color w:val="000000"/>
          <w:sz w:val="24"/>
          <w:szCs w:val="24"/>
        </w:rPr>
        <w:t>hükümlerin her birine tam uy</w:t>
      </w:r>
      <w:r>
        <w:rPr>
          <w:rFonts w:ascii="Times New Roman" w:hAnsi="Times New Roman"/>
          <w:color w:val="000000"/>
          <w:sz w:val="24"/>
          <w:szCs w:val="24"/>
        </w:rPr>
        <w:t>gunluk</w:t>
      </w:r>
      <w:r w:rsidRPr="009E0269">
        <w:rPr>
          <w:rFonts w:ascii="Times New Roman" w:hAnsi="Times New Roman"/>
          <w:color w:val="000000"/>
          <w:sz w:val="24"/>
          <w:szCs w:val="24"/>
        </w:rPr>
        <w:t xml:space="preserve"> sağlayıp sağlama</w:t>
      </w:r>
      <w:r>
        <w:rPr>
          <w:rFonts w:ascii="Times New Roman" w:hAnsi="Times New Roman"/>
          <w:color w:val="000000"/>
          <w:sz w:val="24"/>
          <w:szCs w:val="24"/>
        </w:rPr>
        <w:t>yacağı.</w:t>
      </w:r>
    </w:p>
    <w:p w:rsidR="00285C13" w:rsidRPr="00942409" w:rsidRDefault="00285C13" w:rsidP="009E0269">
      <w:pPr>
        <w:pStyle w:val="ListParagraph"/>
        <w:numPr>
          <w:ilvl w:val="0"/>
          <w:numId w:val="9"/>
        </w:numPr>
        <w:autoSpaceDE w:val="0"/>
        <w:autoSpaceDN w:val="0"/>
        <w:adjustRightInd w:val="0"/>
        <w:spacing w:before="120" w:after="120" w:line="276" w:lineRule="auto"/>
        <w:ind w:left="1985" w:right="142" w:hanging="567"/>
        <w:contextualSpacing w:val="0"/>
        <w:jc w:val="both"/>
        <w:rPr>
          <w:rFonts w:ascii="Times New Roman" w:hAnsi="Times New Roman"/>
          <w:color w:val="000000"/>
          <w:sz w:val="24"/>
          <w:szCs w:val="24"/>
        </w:rPr>
      </w:pPr>
      <w:r w:rsidRPr="00942409">
        <w:rPr>
          <w:rFonts w:ascii="Times New Roman" w:hAnsi="Times New Roman"/>
          <w:color w:val="000000"/>
          <w:sz w:val="24"/>
          <w:szCs w:val="24"/>
        </w:rPr>
        <w:t>Gerçeğe uygun sunumun sağlanması</w:t>
      </w:r>
      <w:r>
        <w:rPr>
          <w:rFonts w:ascii="Times New Roman" w:hAnsi="Times New Roman"/>
          <w:color w:val="000000"/>
          <w:sz w:val="24"/>
          <w:szCs w:val="24"/>
        </w:rPr>
        <w:t xml:space="preserve"> için gerekli olması hâlinde</w:t>
      </w:r>
      <w:r w:rsidRPr="00942409">
        <w:rPr>
          <w:rFonts w:ascii="Times New Roman" w:hAnsi="Times New Roman"/>
          <w:color w:val="000000"/>
          <w:sz w:val="24"/>
          <w:szCs w:val="24"/>
        </w:rPr>
        <w:t xml:space="preserve">, çerçevenin özel olarak zorunlu kıldıklarından başka açıklamalar </w:t>
      </w:r>
      <w:r>
        <w:rPr>
          <w:rFonts w:ascii="Times New Roman" w:hAnsi="Times New Roman"/>
          <w:color w:val="000000"/>
          <w:sz w:val="24"/>
          <w:szCs w:val="24"/>
        </w:rPr>
        <w:t>sağlayıp sağlamayacağı</w:t>
      </w:r>
      <w:r w:rsidRPr="00942409">
        <w:rPr>
          <w:rFonts w:ascii="Times New Roman" w:hAnsi="Times New Roman"/>
          <w:color w:val="000000"/>
          <w:sz w:val="24"/>
          <w:szCs w:val="24"/>
        </w:rPr>
        <w:t xml:space="preserve"> veya istisnai durumlarda, çerçeve hükümlerinin birinden sapıp sapma</w:t>
      </w:r>
      <w:r>
        <w:rPr>
          <w:rFonts w:ascii="Times New Roman" w:hAnsi="Times New Roman"/>
          <w:color w:val="000000"/>
          <w:sz w:val="24"/>
          <w:szCs w:val="24"/>
        </w:rPr>
        <w:t>yacağı.</w:t>
      </w:r>
    </w:p>
    <w:p w:rsidR="00285C13" w:rsidRPr="00942409" w:rsidRDefault="00285C13" w:rsidP="009E0269">
      <w:pPr>
        <w:autoSpaceDE w:val="0"/>
        <w:autoSpaceDN w:val="0"/>
        <w:adjustRightInd w:val="0"/>
        <w:spacing w:before="120" w:after="120" w:line="276" w:lineRule="auto"/>
        <w:ind w:left="708" w:right="142"/>
        <w:jc w:val="both"/>
        <w:rPr>
          <w:rFonts w:ascii="Times New Roman" w:hAnsi="Times New Roman"/>
          <w:color w:val="000000"/>
          <w:sz w:val="24"/>
          <w:szCs w:val="24"/>
        </w:rPr>
      </w:pPr>
      <w:r w:rsidRPr="00942409">
        <w:rPr>
          <w:rFonts w:ascii="Times New Roman" w:hAnsi="Times New Roman"/>
          <w:color w:val="000000"/>
          <w:sz w:val="24"/>
          <w:szCs w:val="24"/>
        </w:rPr>
        <w:t>Denetçinin görüşün şekline ilişkin kararı</w:t>
      </w:r>
      <w:r>
        <w:rPr>
          <w:rFonts w:ascii="Times New Roman" w:hAnsi="Times New Roman"/>
          <w:color w:val="000000"/>
          <w:sz w:val="24"/>
          <w:szCs w:val="24"/>
        </w:rPr>
        <w:t>,</w:t>
      </w:r>
      <w:r w:rsidRPr="00942409">
        <w:rPr>
          <w:rFonts w:ascii="Times New Roman" w:hAnsi="Times New Roman"/>
          <w:color w:val="000000"/>
          <w:sz w:val="24"/>
          <w:szCs w:val="24"/>
        </w:rPr>
        <w:t xml:space="preserve"> mesleki muhakeme konusudur. </w:t>
      </w:r>
      <w:r>
        <w:rPr>
          <w:rFonts w:ascii="Times New Roman" w:hAnsi="Times New Roman"/>
          <w:color w:val="000000"/>
          <w:sz w:val="24"/>
          <w:szCs w:val="24"/>
        </w:rPr>
        <w:t>Söz konusu karar, g</w:t>
      </w:r>
      <w:r w:rsidRPr="00942409">
        <w:rPr>
          <w:rFonts w:ascii="Times New Roman" w:hAnsi="Times New Roman"/>
          <w:color w:val="000000"/>
          <w:sz w:val="24"/>
          <w:szCs w:val="24"/>
        </w:rPr>
        <w:t xml:space="preserve">erçeğe uygun </w:t>
      </w:r>
      <w:r>
        <w:rPr>
          <w:rFonts w:ascii="Times New Roman" w:hAnsi="Times New Roman"/>
          <w:color w:val="000000"/>
          <w:sz w:val="24"/>
          <w:szCs w:val="24"/>
        </w:rPr>
        <w:t xml:space="preserve">bir </w:t>
      </w:r>
      <w:r w:rsidRPr="00942409">
        <w:rPr>
          <w:rFonts w:ascii="Times New Roman" w:hAnsi="Times New Roman"/>
          <w:color w:val="000000"/>
          <w:sz w:val="24"/>
          <w:szCs w:val="24"/>
        </w:rPr>
        <w:t>sunum çerçevesi</w:t>
      </w:r>
      <w:r>
        <w:rPr>
          <w:rFonts w:ascii="Times New Roman" w:hAnsi="Times New Roman"/>
          <w:color w:val="000000"/>
          <w:sz w:val="24"/>
          <w:szCs w:val="24"/>
        </w:rPr>
        <w:t xml:space="preserve">ne uygun olarak </w:t>
      </w:r>
      <w:r w:rsidRPr="00942409">
        <w:rPr>
          <w:rFonts w:ascii="Times New Roman" w:hAnsi="Times New Roman"/>
          <w:color w:val="000000"/>
          <w:sz w:val="24"/>
          <w:szCs w:val="24"/>
        </w:rPr>
        <w:t>hazırlanan tek bir finansal tabloya veya finansal tablodaki belirli bir unsura ilişkin denetçi görüşünde</w:t>
      </w:r>
      <w:r>
        <w:rPr>
          <w:rFonts w:ascii="Times New Roman" w:hAnsi="Times New Roman"/>
          <w:color w:val="000000"/>
          <w:sz w:val="24"/>
          <w:szCs w:val="24"/>
        </w:rPr>
        <w:t>,</w:t>
      </w:r>
      <w:r w:rsidRPr="00942409">
        <w:rPr>
          <w:rFonts w:ascii="Times New Roman" w:hAnsi="Times New Roman"/>
          <w:color w:val="000000"/>
          <w:sz w:val="24"/>
          <w:szCs w:val="24"/>
        </w:rPr>
        <w:t xml:space="preserve"> “tüm önemli yönleriyle gerçeğe uygun bir biçimde sunmaktadır” veya “doğru ve gerçeğe uygun bir görünüm sağlamaktadır” ifadelerinin kullanıl</w:t>
      </w:r>
      <w:r>
        <w:rPr>
          <w:rFonts w:ascii="Times New Roman" w:hAnsi="Times New Roman"/>
          <w:color w:val="000000"/>
          <w:sz w:val="24"/>
          <w:szCs w:val="24"/>
        </w:rPr>
        <w:t>masının,</w:t>
      </w:r>
      <w:r w:rsidRPr="00942409">
        <w:rPr>
          <w:rFonts w:ascii="Times New Roman" w:hAnsi="Times New Roman"/>
          <w:color w:val="000000"/>
          <w:sz w:val="24"/>
          <w:szCs w:val="24"/>
        </w:rPr>
        <w:t xml:space="preserve"> </w:t>
      </w:r>
      <w:r>
        <w:rPr>
          <w:rFonts w:ascii="Times New Roman" w:hAnsi="Times New Roman"/>
          <w:color w:val="000000"/>
          <w:sz w:val="24"/>
          <w:szCs w:val="24"/>
        </w:rPr>
        <w:t xml:space="preserve">uygulamada </w:t>
      </w:r>
      <w:r w:rsidRPr="00942409">
        <w:rPr>
          <w:rFonts w:ascii="Times New Roman" w:hAnsi="Times New Roman"/>
          <w:color w:val="000000"/>
          <w:sz w:val="24"/>
          <w:szCs w:val="24"/>
        </w:rPr>
        <w:t>genel kabul gör</w:t>
      </w:r>
      <w:r>
        <w:rPr>
          <w:rFonts w:ascii="Times New Roman" w:hAnsi="Times New Roman"/>
          <w:color w:val="000000"/>
          <w:sz w:val="24"/>
          <w:szCs w:val="24"/>
        </w:rPr>
        <w:t xml:space="preserve">üp görmemesinden </w:t>
      </w:r>
      <w:r w:rsidRPr="00942409">
        <w:rPr>
          <w:rFonts w:ascii="Times New Roman" w:hAnsi="Times New Roman"/>
          <w:color w:val="000000"/>
          <w:sz w:val="24"/>
          <w:szCs w:val="24"/>
        </w:rPr>
        <w:t>etkilenebilir.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b/>
          <w:sz w:val="24"/>
          <w:szCs w:val="24"/>
        </w:rPr>
        <w:t xml:space="preserve">Denetimin Planlanması ve Yürütülmesine İlişkin Hususlar </w:t>
      </w:r>
      <w:r w:rsidRPr="00942409">
        <w:rPr>
          <w:rFonts w:ascii="Times New Roman" w:hAnsi="Times New Roman"/>
          <w:sz w:val="24"/>
          <w:szCs w:val="24"/>
        </w:rPr>
        <w:t>(</w:t>
      </w:r>
      <w:r w:rsidRPr="00942409">
        <w:rPr>
          <w:rFonts w:ascii="Times New Roman" w:hAnsi="Times New Roman"/>
          <w:color w:val="000000"/>
          <w:sz w:val="24"/>
          <w:szCs w:val="24"/>
        </w:rPr>
        <w:t xml:space="preserve">Bakınız: 10 uncu paragraf) </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A10. </w:t>
      </w:r>
      <w:r w:rsidRPr="00942409">
        <w:rPr>
          <w:rFonts w:ascii="Times New Roman" w:hAnsi="Times New Roman"/>
          <w:sz w:val="24"/>
          <w:szCs w:val="24"/>
        </w:rPr>
        <w:tab/>
      </w:r>
      <w:r w:rsidRPr="00550CD8">
        <w:rPr>
          <w:rFonts w:ascii="Times New Roman" w:hAnsi="Times New Roman"/>
          <w:color w:val="000000"/>
          <w:sz w:val="24"/>
          <w:szCs w:val="24"/>
        </w:rPr>
        <w:t xml:space="preserve">Her bir BDS’nin </w:t>
      </w:r>
      <w:r w:rsidRPr="008529E4">
        <w:rPr>
          <w:rFonts w:ascii="Times New Roman" w:hAnsi="Times New Roman"/>
          <w:color w:val="000000"/>
          <w:sz w:val="24"/>
          <w:szCs w:val="24"/>
        </w:rPr>
        <w:t>yapılan denetimle ilgili olup olmadığı</w:t>
      </w:r>
      <w:r>
        <w:rPr>
          <w:rFonts w:ascii="Times New Roman" w:hAnsi="Times New Roman"/>
          <w:color w:val="000000"/>
          <w:sz w:val="24"/>
          <w:szCs w:val="24"/>
        </w:rPr>
        <w:t xml:space="preserve"> </w:t>
      </w:r>
      <w:r w:rsidRPr="00550CD8">
        <w:rPr>
          <w:rFonts w:ascii="Times New Roman" w:hAnsi="Times New Roman"/>
          <w:color w:val="000000"/>
          <w:sz w:val="24"/>
          <w:szCs w:val="24"/>
        </w:rPr>
        <w:t xml:space="preserve">dikkatli bir değerlendirme </w:t>
      </w:r>
      <w:r>
        <w:rPr>
          <w:rFonts w:ascii="Times New Roman" w:hAnsi="Times New Roman"/>
          <w:color w:val="000000"/>
          <w:sz w:val="24"/>
          <w:szCs w:val="24"/>
        </w:rPr>
        <w:t>yapılmasını</w:t>
      </w:r>
      <w:r w:rsidRPr="008529E4">
        <w:rPr>
          <w:rFonts w:ascii="Times New Roman" w:hAnsi="Times New Roman"/>
          <w:color w:val="000000"/>
          <w:sz w:val="24"/>
          <w:szCs w:val="24"/>
        </w:rPr>
        <w:t xml:space="preserve"> gerektirir. Bir finansal tablonun yalnızca belirli bir unsuru denetime tabi olsa bile, BDS 240</w:t>
      </w:r>
      <w:r w:rsidRPr="008529E4">
        <w:rPr>
          <w:rStyle w:val="FootnoteReference"/>
          <w:rFonts w:ascii="Times New Roman" w:hAnsi="Times New Roman"/>
          <w:color w:val="000000"/>
          <w:sz w:val="24"/>
          <w:szCs w:val="24"/>
        </w:rPr>
        <w:footnoteReference w:id="18"/>
      </w:r>
      <w:r w:rsidRPr="008529E4">
        <w:rPr>
          <w:rFonts w:ascii="Times New Roman" w:hAnsi="Times New Roman"/>
          <w:color w:val="000000"/>
          <w:sz w:val="24"/>
          <w:szCs w:val="24"/>
        </w:rPr>
        <w:t>, BDS 550</w:t>
      </w:r>
      <w:r w:rsidRPr="008529E4">
        <w:rPr>
          <w:rStyle w:val="FootnoteReference"/>
          <w:rFonts w:ascii="Times New Roman" w:hAnsi="Times New Roman"/>
          <w:color w:val="000000"/>
          <w:sz w:val="24"/>
          <w:szCs w:val="24"/>
        </w:rPr>
        <w:footnoteReference w:id="19"/>
      </w:r>
      <w:r w:rsidRPr="008529E4">
        <w:rPr>
          <w:rFonts w:ascii="Times New Roman" w:hAnsi="Times New Roman"/>
          <w:color w:val="000000"/>
          <w:sz w:val="24"/>
          <w:szCs w:val="24"/>
        </w:rPr>
        <w:t xml:space="preserve"> ve BDS 570 gibi BDS’lerin kural olarak denetimle ilgili olduğu </w:t>
      </w:r>
      <w:r w:rsidRPr="009E0269">
        <w:rPr>
          <w:rFonts w:ascii="Times New Roman" w:hAnsi="Times New Roman"/>
          <w:color w:val="000000"/>
          <w:sz w:val="24"/>
          <w:szCs w:val="24"/>
        </w:rPr>
        <w:t>kabul edilir</w:t>
      </w:r>
      <w:r w:rsidRPr="008529E4">
        <w:rPr>
          <w:rFonts w:ascii="Times New Roman" w:hAnsi="Times New Roman"/>
          <w:color w:val="000000"/>
          <w:sz w:val="24"/>
          <w:szCs w:val="24"/>
        </w:rPr>
        <w:t>. Çünkü</w:t>
      </w:r>
      <w:r w:rsidRPr="00E82FCD">
        <w:rPr>
          <w:rFonts w:ascii="Times New Roman" w:hAnsi="Times New Roman"/>
          <w:color w:val="000000"/>
          <w:sz w:val="24"/>
          <w:szCs w:val="24"/>
        </w:rPr>
        <w:t xml:space="preserve"> söz konusu unsur; hile, ilişkili taraf işlemlerinin etkisi veya işletmenin sürekliliği varsayımının geçerli finansal raporlama çerçevesi kapsamında hatalı uygulanması </w:t>
      </w:r>
      <w:r w:rsidRPr="009E0269">
        <w:rPr>
          <w:rFonts w:ascii="Times New Roman" w:hAnsi="Times New Roman"/>
          <w:color w:val="000000"/>
          <w:sz w:val="24"/>
          <w:szCs w:val="24"/>
        </w:rPr>
        <w:t>sebebiyle</w:t>
      </w:r>
      <w:r w:rsidRPr="00E82FCD">
        <w:rPr>
          <w:rFonts w:ascii="Times New Roman" w:hAnsi="Times New Roman"/>
          <w:color w:val="000000"/>
          <w:sz w:val="24"/>
          <w:szCs w:val="24"/>
        </w:rPr>
        <w:t xml:space="preserve"> yanlışlık içerebilir.</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A11. </w:t>
      </w:r>
      <w:r w:rsidRPr="00942409">
        <w:rPr>
          <w:rFonts w:ascii="Times New Roman" w:hAnsi="Times New Roman"/>
          <w:sz w:val="24"/>
          <w:szCs w:val="24"/>
        </w:rPr>
        <w:tab/>
      </w:r>
      <w:r w:rsidRPr="00942409">
        <w:rPr>
          <w:rFonts w:ascii="Times New Roman" w:hAnsi="Times New Roman"/>
          <w:color w:val="000000"/>
          <w:sz w:val="24"/>
          <w:szCs w:val="24"/>
        </w:rPr>
        <w:t>Ayrıca BDS</w:t>
      </w:r>
      <w:r>
        <w:rPr>
          <w:rFonts w:ascii="Times New Roman" w:hAnsi="Times New Roman"/>
          <w:color w:val="000000"/>
          <w:sz w:val="24"/>
          <w:szCs w:val="24"/>
        </w:rPr>
        <w:t>’</w:t>
      </w:r>
      <w:r w:rsidRPr="00942409">
        <w:rPr>
          <w:rFonts w:ascii="Times New Roman" w:hAnsi="Times New Roman"/>
          <w:color w:val="000000"/>
          <w:sz w:val="24"/>
          <w:szCs w:val="24"/>
        </w:rPr>
        <w:t>ler, finansal tabloların denetimine yönelik hazırlanmış</w:t>
      </w:r>
      <w:r>
        <w:rPr>
          <w:rFonts w:ascii="Times New Roman" w:hAnsi="Times New Roman"/>
          <w:color w:val="000000"/>
          <w:sz w:val="24"/>
          <w:szCs w:val="24"/>
        </w:rPr>
        <w:t>tır. T</w:t>
      </w:r>
      <w:r w:rsidRPr="00942409">
        <w:rPr>
          <w:rFonts w:ascii="Times New Roman" w:hAnsi="Times New Roman"/>
          <w:color w:val="000000"/>
          <w:sz w:val="24"/>
          <w:szCs w:val="24"/>
        </w:rPr>
        <w:t>ek bir finansal tablonun veya finansal tablodaki belirli bir unsurun denetimin</w:t>
      </w:r>
      <w:r>
        <w:rPr>
          <w:rFonts w:ascii="Times New Roman" w:hAnsi="Times New Roman"/>
          <w:color w:val="000000"/>
          <w:sz w:val="24"/>
          <w:szCs w:val="24"/>
        </w:rPr>
        <w:t>de uygulanmaları hâlinde</w:t>
      </w:r>
      <w:r w:rsidRPr="00942409">
        <w:rPr>
          <w:rFonts w:ascii="Times New Roman" w:hAnsi="Times New Roman"/>
          <w:color w:val="000000"/>
          <w:sz w:val="24"/>
          <w:szCs w:val="24"/>
        </w:rPr>
        <w:t xml:space="preserve"> BDS’ler</w:t>
      </w:r>
      <w:r>
        <w:rPr>
          <w:rFonts w:ascii="Times New Roman" w:hAnsi="Times New Roman"/>
          <w:color w:val="000000"/>
          <w:sz w:val="24"/>
          <w:szCs w:val="24"/>
        </w:rPr>
        <w:t>,</w:t>
      </w:r>
      <w:r w:rsidRPr="00942409">
        <w:rPr>
          <w:rFonts w:ascii="Times New Roman" w:hAnsi="Times New Roman"/>
          <w:color w:val="000000"/>
          <w:sz w:val="24"/>
          <w:szCs w:val="24"/>
        </w:rPr>
        <w:t xml:space="preserve"> gerektiğinde şartlara göre uyarlanır.</w:t>
      </w:r>
      <w:r w:rsidRPr="00942409">
        <w:rPr>
          <w:rStyle w:val="FootnoteReference"/>
          <w:rFonts w:ascii="Times New Roman" w:hAnsi="Times New Roman"/>
          <w:color w:val="000000"/>
          <w:sz w:val="24"/>
          <w:szCs w:val="24"/>
        </w:rPr>
        <w:footnoteReference w:id="20"/>
      </w:r>
      <w:r w:rsidRPr="00942409">
        <w:rPr>
          <w:rFonts w:ascii="Times New Roman" w:hAnsi="Times New Roman"/>
          <w:color w:val="000000"/>
          <w:sz w:val="24"/>
          <w:szCs w:val="24"/>
        </w:rPr>
        <w:t xml:space="preserve"> </w:t>
      </w:r>
      <w:r w:rsidRPr="00E82FCD">
        <w:rPr>
          <w:rFonts w:ascii="Times New Roman" w:hAnsi="Times New Roman"/>
          <w:color w:val="000000"/>
          <w:sz w:val="24"/>
          <w:szCs w:val="24"/>
        </w:rPr>
        <w:t xml:space="preserve">Örneğin, tam bir finansal tablolar setine ilişkin olarak yönetimden alınan yazılı açıklamaların yerini, finansal tablo veya unsurun </w:t>
      </w:r>
      <w:r w:rsidRPr="009E0269">
        <w:rPr>
          <w:rFonts w:ascii="Times New Roman" w:hAnsi="Times New Roman"/>
          <w:color w:val="000000"/>
          <w:sz w:val="24"/>
          <w:szCs w:val="24"/>
        </w:rPr>
        <w:t xml:space="preserve">geçerli finansal raporlama çerçevesine uygun olarak </w:t>
      </w:r>
      <w:r w:rsidRPr="00E82FCD">
        <w:rPr>
          <w:rFonts w:ascii="Times New Roman" w:hAnsi="Times New Roman"/>
          <w:color w:val="000000"/>
          <w:sz w:val="24"/>
          <w:szCs w:val="24"/>
        </w:rPr>
        <w:t>sunumuna ilişkin yazılı açıklamalar alacaktır.</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A12. </w:t>
      </w:r>
      <w:r>
        <w:rPr>
          <w:rFonts w:ascii="Times New Roman" w:hAnsi="Times New Roman"/>
          <w:color w:val="000000"/>
          <w:sz w:val="24"/>
          <w:szCs w:val="24"/>
        </w:rPr>
        <w:t xml:space="preserve"> İlgili </w:t>
      </w:r>
      <w:r w:rsidRPr="00942409">
        <w:rPr>
          <w:rFonts w:ascii="Times New Roman" w:hAnsi="Times New Roman"/>
          <w:color w:val="000000"/>
          <w:sz w:val="24"/>
          <w:szCs w:val="24"/>
        </w:rPr>
        <w:t>İşletmenin tam bir finansal tablolar setinin denetimiyle birlikte, tek bir finansal tablo</w:t>
      </w:r>
      <w:r>
        <w:rPr>
          <w:rFonts w:ascii="Times New Roman" w:hAnsi="Times New Roman"/>
          <w:color w:val="000000"/>
          <w:sz w:val="24"/>
          <w:szCs w:val="24"/>
        </w:rPr>
        <w:t>nun</w:t>
      </w:r>
      <w:r w:rsidRPr="00942409">
        <w:rPr>
          <w:rFonts w:ascii="Times New Roman" w:hAnsi="Times New Roman"/>
          <w:color w:val="000000"/>
          <w:sz w:val="24"/>
          <w:szCs w:val="24"/>
        </w:rPr>
        <w:t xml:space="preserve"> veya finansal tablodaki belirli bir unsuru</w:t>
      </w:r>
      <w:r>
        <w:rPr>
          <w:rFonts w:ascii="Times New Roman" w:hAnsi="Times New Roman"/>
          <w:color w:val="000000"/>
          <w:sz w:val="24"/>
          <w:szCs w:val="24"/>
        </w:rPr>
        <w:t>n</w:t>
      </w:r>
      <w:r w:rsidRPr="00942409">
        <w:rPr>
          <w:rFonts w:ascii="Times New Roman" w:hAnsi="Times New Roman"/>
          <w:color w:val="000000"/>
          <w:sz w:val="24"/>
          <w:szCs w:val="24"/>
        </w:rPr>
        <w:t xml:space="preserve"> denet</w:t>
      </w:r>
      <w:r>
        <w:rPr>
          <w:rFonts w:ascii="Times New Roman" w:hAnsi="Times New Roman"/>
          <w:color w:val="000000"/>
          <w:sz w:val="24"/>
          <w:szCs w:val="24"/>
        </w:rPr>
        <w:t>imini yürütmesi</w:t>
      </w:r>
      <w:r w:rsidRPr="00942409">
        <w:rPr>
          <w:rFonts w:ascii="Times New Roman" w:hAnsi="Times New Roman"/>
          <w:color w:val="000000"/>
          <w:sz w:val="24"/>
          <w:szCs w:val="24"/>
        </w:rPr>
        <w:t xml:space="preserve"> durumunda denetçi, tam bir finansal tablolar setinin</w:t>
      </w:r>
      <w:r w:rsidRPr="00942409" w:rsidDel="003038EE">
        <w:rPr>
          <w:rFonts w:ascii="Times New Roman" w:hAnsi="Times New Roman"/>
          <w:color w:val="000000"/>
          <w:sz w:val="24"/>
          <w:szCs w:val="24"/>
        </w:rPr>
        <w:t xml:space="preserve"> </w:t>
      </w:r>
      <w:r w:rsidRPr="00942409">
        <w:rPr>
          <w:rFonts w:ascii="Times New Roman" w:hAnsi="Times New Roman"/>
          <w:color w:val="000000"/>
          <w:sz w:val="24"/>
          <w:szCs w:val="24"/>
        </w:rPr>
        <w:t>denetimi</w:t>
      </w:r>
      <w:r>
        <w:rPr>
          <w:rFonts w:ascii="Times New Roman" w:hAnsi="Times New Roman"/>
          <w:color w:val="000000"/>
          <w:sz w:val="24"/>
          <w:szCs w:val="24"/>
        </w:rPr>
        <w:t xml:space="preserve">nin bir parçası olarak </w:t>
      </w:r>
      <w:r w:rsidRPr="00942409">
        <w:rPr>
          <w:rFonts w:ascii="Times New Roman" w:hAnsi="Times New Roman"/>
          <w:color w:val="000000"/>
          <w:sz w:val="24"/>
          <w:szCs w:val="24"/>
        </w:rPr>
        <w:t>elde edilen denetim kanıtlarını</w:t>
      </w:r>
      <w:r>
        <w:rPr>
          <w:rFonts w:ascii="Times New Roman" w:hAnsi="Times New Roman"/>
          <w:color w:val="000000"/>
          <w:sz w:val="24"/>
          <w:szCs w:val="24"/>
        </w:rPr>
        <w:t>,</w:t>
      </w:r>
      <w:r w:rsidRPr="00942409">
        <w:rPr>
          <w:rFonts w:ascii="Times New Roman" w:hAnsi="Times New Roman"/>
          <w:color w:val="000000"/>
          <w:sz w:val="24"/>
          <w:szCs w:val="24"/>
        </w:rPr>
        <w:t xml:space="preserve"> söz konusu finansal tablonun veya unsurun denetiminde kullanabilir. </w:t>
      </w:r>
      <w:r>
        <w:rPr>
          <w:rFonts w:ascii="Times New Roman" w:hAnsi="Times New Roman"/>
          <w:color w:val="000000"/>
          <w:sz w:val="24"/>
          <w:szCs w:val="24"/>
        </w:rPr>
        <w:t>Ancak yine de</w:t>
      </w:r>
      <w:r w:rsidRPr="00E82FCD">
        <w:rPr>
          <w:rFonts w:ascii="Times New Roman" w:hAnsi="Times New Roman"/>
          <w:color w:val="000000"/>
          <w:sz w:val="24"/>
          <w:szCs w:val="24"/>
        </w:rPr>
        <w:t xml:space="preserve"> BDS’ler, denetçinin, finansal tablonun veya unsurun denetimini, söz konusu finansal tabloya veya unsura ilişkin vereceği görüşe dayanak oluşturacak yeterli ve uygun denetim kanıtı elde etmek üzere planlamasını ve yürütmesini gerektirir.</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A13. </w:t>
      </w:r>
      <w:r w:rsidRPr="00942409">
        <w:rPr>
          <w:rFonts w:ascii="Times New Roman" w:hAnsi="Times New Roman"/>
          <w:sz w:val="24"/>
          <w:szCs w:val="24"/>
        </w:rPr>
        <w:tab/>
      </w:r>
      <w:r w:rsidRPr="00942409">
        <w:rPr>
          <w:rFonts w:ascii="Times New Roman" w:hAnsi="Times New Roman"/>
          <w:color w:val="000000"/>
          <w:sz w:val="24"/>
          <w:szCs w:val="24"/>
        </w:rPr>
        <w:t xml:space="preserve">İlgili dipnotlar dâhil tam bir finansal tablolar setini </w:t>
      </w:r>
      <w:r>
        <w:rPr>
          <w:rFonts w:ascii="Times New Roman" w:hAnsi="Times New Roman"/>
          <w:color w:val="000000"/>
          <w:sz w:val="24"/>
          <w:szCs w:val="24"/>
        </w:rPr>
        <w:t>oluşturan</w:t>
      </w:r>
      <w:r w:rsidRPr="00942409">
        <w:rPr>
          <w:rFonts w:ascii="Times New Roman" w:hAnsi="Times New Roman"/>
          <w:color w:val="000000"/>
          <w:sz w:val="24"/>
          <w:szCs w:val="24"/>
        </w:rPr>
        <w:t xml:space="preserve"> her bir finansal tablo ve bu finansal tablolardaki unsurların birçoğu birbiriyle ilişkilidir. Bu sebeple, tek bir finansal tablo</w:t>
      </w:r>
      <w:r>
        <w:rPr>
          <w:rFonts w:ascii="Times New Roman" w:hAnsi="Times New Roman"/>
          <w:color w:val="000000"/>
          <w:sz w:val="24"/>
          <w:szCs w:val="24"/>
        </w:rPr>
        <w:t>nun</w:t>
      </w:r>
      <w:r w:rsidRPr="00942409">
        <w:rPr>
          <w:rFonts w:ascii="Times New Roman" w:hAnsi="Times New Roman"/>
          <w:color w:val="000000"/>
          <w:sz w:val="24"/>
          <w:szCs w:val="24"/>
        </w:rPr>
        <w:t xml:space="preserve"> veya finansal tablodaki belirli bir unsuru</w:t>
      </w:r>
      <w:r>
        <w:rPr>
          <w:rFonts w:ascii="Times New Roman" w:hAnsi="Times New Roman"/>
          <w:color w:val="000000"/>
          <w:sz w:val="24"/>
          <w:szCs w:val="24"/>
        </w:rPr>
        <w:t>n</w:t>
      </w:r>
      <w:r w:rsidRPr="00942409">
        <w:rPr>
          <w:rFonts w:ascii="Times New Roman" w:hAnsi="Times New Roman"/>
          <w:color w:val="000000"/>
          <w:sz w:val="24"/>
          <w:szCs w:val="24"/>
        </w:rPr>
        <w:t xml:space="preserve"> denet</w:t>
      </w:r>
      <w:r>
        <w:rPr>
          <w:rFonts w:ascii="Times New Roman" w:hAnsi="Times New Roman"/>
          <w:color w:val="000000"/>
          <w:sz w:val="24"/>
          <w:szCs w:val="24"/>
        </w:rPr>
        <w:t>imi sırasında</w:t>
      </w:r>
      <w:r w:rsidRPr="00942409">
        <w:rPr>
          <w:rFonts w:ascii="Times New Roman" w:hAnsi="Times New Roman"/>
          <w:color w:val="000000"/>
          <w:sz w:val="24"/>
          <w:szCs w:val="24"/>
        </w:rPr>
        <w:t xml:space="preserve"> denetçi, söz konusu finansal tabloyu veya unsuru </w:t>
      </w:r>
      <w:r w:rsidRPr="00FF3FCE">
        <w:rPr>
          <w:rFonts w:ascii="Times New Roman" w:hAnsi="Times New Roman"/>
          <w:color w:val="000000"/>
          <w:sz w:val="24"/>
          <w:szCs w:val="24"/>
        </w:rPr>
        <w:t>diğerlerinden ayrı olarak</w:t>
      </w:r>
      <w:r w:rsidRPr="00942409">
        <w:rPr>
          <w:rFonts w:ascii="Times New Roman" w:hAnsi="Times New Roman"/>
          <w:color w:val="000000"/>
          <w:sz w:val="24"/>
          <w:szCs w:val="24"/>
        </w:rPr>
        <w:t xml:space="preserve"> dikkate al</w:t>
      </w:r>
      <w:r>
        <w:rPr>
          <w:rFonts w:ascii="Times New Roman" w:hAnsi="Times New Roman"/>
          <w:color w:val="000000"/>
          <w:sz w:val="24"/>
          <w:szCs w:val="24"/>
        </w:rPr>
        <w:t>amayabilir</w:t>
      </w:r>
      <w:r w:rsidRPr="00942409">
        <w:rPr>
          <w:rFonts w:ascii="Times New Roman" w:hAnsi="Times New Roman"/>
          <w:color w:val="000000"/>
          <w:sz w:val="24"/>
          <w:szCs w:val="24"/>
        </w:rPr>
        <w:t>. Dolayısıyla denetçinin, denetimin amaçlarını yerine getirmek için birbiriyle ilişkili olan kalemlerle ilgili prosedürleri uygulaması gerekebilir.</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A14. </w:t>
      </w:r>
      <w:r w:rsidRPr="00942409">
        <w:rPr>
          <w:rFonts w:ascii="Times New Roman" w:hAnsi="Times New Roman"/>
          <w:sz w:val="24"/>
          <w:szCs w:val="24"/>
        </w:rPr>
        <w:tab/>
      </w:r>
      <w:r w:rsidRPr="00942409">
        <w:rPr>
          <w:rFonts w:ascii="Times New Roman" w:hAnsi="Times New Roman"/>
          <w:color w:val="000000"/>
          <w:sz w:val="24"/>
          <w:szCs w:val="24"/>
        </w:rPr>
        <w:t>Ayrıca, tek bir finansal tablo veya finansal tablodaki belirli bir unsur için belirlen</w:t>
      </w:r>
      <w:r>
        <w:rPr>
          <w:rFonts w:ascii="Times New Roman" w:hAnsi="Times New Roman"/>
          <w:color w:val="000000"/>
          <w:sz w:val="24"/>
          <w:szCs w:val="24"/>
        </w:rPr>
        <w:t>en</w:t>
      </w:r>
      <w:r w:rsidRPr="00942409">
        <w:rPr>
          <w:rFonts w:ascii="Times New Roman" w:hAnsi="Times New Roman"/>
          <w:color w:val="000000"/>
          <w:sz w:val="24"/>
          <w:szCs w:val="24"/>
        </w:rPr>
        <w:t xml:space="preserve"> önemlilik, işletmenin tam bir finansal tablolar seti için belirlenen önemlilikten daha düşük olabilir. Bu durum, denetim prosedürlerinin niteliğini, zamanlamasını ve kapsamını </w:t>
      </w:r>
      <w:r>
        <w:rPr>
          <w:rFonts w:ascii="Times New Roman" w:hAnsi="Times New Roman"/>
          <w:color w:val="000000"/>
          <w:sz w:val="24"/>
          <w:szCs w:val="24"/>
        </w:rPr>
        <w:t xml:space="preserve">ve </w:t>
      </w:r>
      <w:r w:rsidRPr="00942409">
        <w:rPr>
          <w:rFonts w:ascii="Times New Roman" w:hAnsi="Times New Roman"/>
          <w:color w:val="000000"/>
          <w:sz w:val="24"/>
          <w:szCs w:val="24"/>
        </w:rPr>
        <w:t>düzeltilmemiş yanlışlıklar</w:t>
      </w:r>
      <w:r>
        <w:rPr>
          <w:rFonts w:ascii="Times New Roman" w:hAnsi="Times New Roman"/>
          <w:color w:val="000000"/>
          <w:sz w:val="24"/>
          <w:szCs w:val="24"/>
        </w:rPr>
        <w:t>ın</w:t>
      </w:r>
      <w:r w:rsidRPr="00942409">
        <w:rPr>
          <w:rFonts w:ascii="Times New Roman" w:hAnsi="Times New Roman"/>
          <w:color w:val="000000"/>
          <w:sz w:val="24"/>
          <w:szCs w:val="24"/>
        </w:rPr>
        <w:t xml:space="preserve"> </w:t>
      </w:r>
      <w:r>
        <w:rPr>
          <w:rFonts w:ascii="Times New Roman" w:hAnsi="Times New Roman"/>
          <w:color w:val="000000"/>
          <w:sz w:val="24"/>
          <w:szCs w:val="24"/>
        </w:rPr>
        <w:t xml:space="preserve">değerlendirilmesini </w:t>
      </w:r>
      <w:r w:rsidRPr="00942409">
        <w:rPr>
          <w:rFonts w:ascii="Times New Roman" w:hAnsi="Times New Roman"/>
          <w:color w:val="000000"/>
          <w:sz w:val="24"/>
          <w:szCs w:val="24"/>
        </w:rPr>
        <w:t>etkile</w:t>
      </w:r>
      <w:r>
        <w:rPr>
          <w:rFonts w:ascii="Times New Roman" w:hAnsi="Times New Roman"/>
          <w:color w:val="000000"/>
          <w:sz w:val="24"/>
          <w:szCs w:val="24"/>
        </w:rPr>
        <w:t>yecektir.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b/>
          <w:sz w:val="24"/>
          <w:szCs w:val="24"/>
        </w:rPr>
        <w:t>Görüş Oluştur</w:t>
      </w:r>
      <w:r>
        <w:rPr>
          <w:rFonts w:ascii="Times New Roman" w:hAnsi="Times New Roman"/>
          <w:b/>
          <w:sz w:val="24"/>
          <w:szCs w:val="24"/>
        </w:rPr>
        <w:t>ma</w:t>
      </w:r>
      <w:r w:rsidRPr="00942409">
        <w:rPr>
          <w:rFonts w:ascii="Times New Roman" w:hAnsi="Times New Roman"/>
          <w:b/>
          <w:sz w:val="24"/>
          <w:szCs w:val="24"/>
        </w:rPr>
        <w:t xml:space="preserve"> ve Raporlamaya İlişkin Hususlar</w:t>
      </w:r>
      <w:r w:rsidRPr="00942409">
        <w:rPr>
          <w:rFonts w:ascii="Times New Roman" w:hAnsi="Times New Roman"/>
          <w:sz w:val="24"/>
          <w:szCs w:val="24"/>
        </w:rPr>
        <w:t xml:space="preserve"> (</w:t>
      </w:r>
      <w:r w:rsidRPr="00942409">
        <w:rPr>
          <w:rFonts w:ascii="Times New Roman" w:hAnsi="Times New Roman"/>
          <w:color w:val="000000"/>
          <w:sz w:val="24"/>
          <w:szCs w:val="24"/>
        </w:rPr>
        <w:t>Bakınız: 11 inci paragraf)</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A15. </w:t>
      </w:r>
      <w:r w:rsidRPr="00942409">
        <w:rPr>
          <w:rFonts w:ascii="Times New Roman" w:hAnsi="Times New Roman"/>
          <w:sz w:val="24"/>
          <w:szCs w:val="24"/>
        </w:rPr>
        <w:tab/>
      </w:r>
      <w:r w:rsidRPr="00942409">
        <w:rPr>
          <w:rFonts w:ascii="Times New Roman" w:hAnsi="Times New Roman"/>
          <w:color w:val="000000"/>
          <w:sz w:val="24"/>
          <w:szCs w:val="24"/>
        </w:rPr>
        <w:t>BDS 700</w:t>
      </w:r>
      <w:r>
        <w:rPr>
          <w:rFonts w:ascii="Times New Roman" w:hAnsi="Times New Roman"/>
          <w:color w:val="000000"/>
          <w:sz w:val="24"/>
          <w:szCs w:val="24"/>
        </w:rPr>
        <w:t>,</w:t>
      </w:r>
      <w:r w:rsidRPr="00942409">
        <w:rPr>
          <w:rFonts w:ascii="Times New Roman" w:hAnsi="Times New Roman"/>
          <w:color w:val="000000"/>
          <w:sz w:val="24"/>
          <w:szCs w:val="24"/>
        </w:rPr>
        <w:t xml:space="preserve"> denetçinin, görüşünü oluştururken hedef kullanıcıların önemli işlem ve olayların finansal tablolarda aktarılan bilgiler üzerindeki etki</w:t>
      </w:r>
      <w:r>
        <w:rPr>
          <w:rFonts w:ascii="Times New Roman" w:hAnsi="Times New Roman"/>
          <w:color w:val="000000"/>
          <w:sz w:val="24"/>
          <w:szCs w:val="24"/>
        </w:rPr>
        <w:t>sini</w:t>
      </w:r>
      <w:r w:rsidRPr="00942409">
        <w:rPr>
          <w:rFonts w:ascii="Times New Roman" w:hAnsi="Times New Roman"/>
          <w:color w:val="000000"/>
          <w:sz w:val="24"/>
          <w:szCs w:val="24"/>
        </w:rPr>
        <w:t xml:space="preserve"> anlamalarını sağlamak amacıyla</w:t>
      </w:r>
      <w:r>
        <w:rPr>
          <w:rFonts w:ascii="Times New Roman" w:hAnsi="Times New Roman"/>
          <w:color w:val="000000"/>
          <w:sz w:val="24"/>
          <w:szCs w:val="24"/>
        </w:rPr>
        <w:t>,</w:t>
      </w:r>
      <w:r w:rsidRPr="00942409">
        <w:rPr>
          <w:rFonts w:ascii="Times New Roman" w:hAnsi="Times New Roman"/>
          <w:color w:val="000000"/>
          <w:sz w:val="24"/>
          <w:szCs w:val="24"/>
        </w:rPr>
        <w:t xml:space="preserve"> finansal tablolarda yeterli açıklama yapılıp yapılmadığı hususunu değerlendirmesini </w:t>
      </w:r>
      <w:r>
        <w:rPr>
          <w:rFonts w:ascii="Times New Roman" w:hAnsi="Times New Roman"/>
          <w:color w:val="000000"/>
          <w:sz w:val="24"/>
          <w:szCs w:val="24"/>
        </w:rPr>
        <w:t>zorunlu kılar.</w:t>
      </w:r>
      <w:r w:rsidRPr="00942409">
        <w:rPr>
          <w:rStyle w:val="FootnoteReference"/>
          <w:rFonts w:ascii="Times New Roman" w:hAnsi="Times New Roman"/>
          <w:color w:val="000000"/>
          <w:sz w:val="24"/>
          <w:szCs w:val="24"/>
        </w:rPr>
        <w:footnoteReference w:id="21"/>
      </w:r>
      <w:r w:rsidRPr="00942409">
        <w:rPr>
          <w:rFonts w:ascii="Times New Roman" w:hAnsi="Times New Roman"/>
          <w:color w:val="000000"/>
          <w:sz w:val="24"/>
          <w:szCs w:val="24"/>
        </w:rPr>
        <w:t xml:space="preserve"> Tek bir finansal tablo veya finansal tablodaki belirli bir unsur</w:t>
      </w:r>
      <w:r>
        <w:rPr>
          <w:rFonts w:ascii="Times New Roman" w:hAnsi="Times New Roman"/>
          <w:color w:val="000000"/>
          <w:sz w:val="24"/>
          <w:szCs w:val="24"/>
        </w:rPr>
        <w:t xml:space="preserve"> </w:t>
      </w:r>
      <w:r w:rsidRPr="00942409">
        <w:rPr>
          <w:rFonts w:ascii="Times New Roman" w:hAnsi="Times New Roman"/>
          <w:color w:val="000000"/>
          <w:sz w:val="24"/>
          <w:szCs w:val="24"/>
        </w:rPr>
        <w:t>söz konusu olduğu</w:t>
      </w:r>
      <w:r>
        <w:rPr>
          <w:rFonts w:ascii="Times New Roman" w:hAnsi="Times New Roman"/>
          <w:color w:val="000000"/>
          <w:sz w:val="24"/>
          <w:szCs w:val="24"/>
        </w:rPr>
        <w:t>nda</w:t>
      </w:r>
      <w:r w:rsidRPr="00942409">
        <w:rPr>
          <w:rFonts w:ascii="Times New Roman" w:hAnsi="Times New Roman"/>
          <w:color w:val="000000"/>
          <w:sz w:val="24"/>
          <w:szCs w:val="24"/>
        </w:rPr>
        <w:t>, geçerli finansal raporlama çerçevesi hükümleri göz önüne alındığında</w:t>
      </w:r>
      <w:r>
        <w:rPr>
          <w:rFonts w:ascii="Times New Roman" w:hAnsi="Times New Roman"/>
          <w:color w:val="000000"/>
          <w:sz w:val="24"/>
          <w:szCs w:val="24"/>
        </w:rPr>
        <w:t>,</w:t>
      </w:r>
      <w:r w:rsidRPr="00942409" w:rsidDel="00E6421B">
        <w:rPr>
          <w:rFonts w:ascii="Times New Roman" w:hAnsi="Times New Roman"/>
          <w:color w:val="000000"/>
          <w:sz w:val="24"/>
          <w:szCs w:val="24"/>
        </w:rPr>
        <w:t xml:space="preserve"> </w:t>
      </w:r>
      <w:r w:rsidRPr="00942409">
        <w:rPr>
          <w:rFonts w:ascii="Times New Roman" w:hAnsi="Times New Roman"/>
          <w:color w:val="000000"/>
          <w:sz w:val="24"/>
          <w:szCs w:val="24"/>
        </w:rPr>
        <w:t>ilgili dipnotlar dâhil finansal tablo veya unsur</w:t>
      </w:r>
      <w:r>
        <w:rPr>
          <w:rFonts w:ascii="Times New Roman" w:hAnsi="Times New Roman"/>
          <w:color w:val="000000"/>
          <w:sz w:val="24"/>
          <w:szCs w:val="24"/>
        </w:rPr>
        <w:t xml:space="preserve">un, </w:t>
      </w:r>
      <w:r w:rsidRPr="00942409">
        <w:rPr>
          <w:rFonts w:ascii="Times New Roman" w:hAnsi="Times New Roman"/>
          <w:color w:val="000000"/>
          <w:sz w:val="24"/>
          <w:szCs w:val="24"/>
        </w:rPr>
        <w:t>hedef kullanıcıların:</w:t>
      </w:r>
    </w:p>
    <w:p w:rsidR="00285C13" w:rsidRPr="00942409" w:rsidRDefault="00285C13" w:rsidP="009E0269">
      <w:pPr>
        <w:spacing w:before="120" w:after="120" w:line="276" w:lineRule="auto"/>
        <w:ind w:left="708" w:right="142"/>
        <w:jc w:val="both"/>
        <w:rPr>
          <w:rFonts w:ascii="Times New Roman" w:hAnsi="Times New Roman"/>
          <w:color w:val="000000"/>
          <w:sz w:val="24"/>
          <w:szCs w:val="24"/>
        </w:rPr>
      </w:pPr>
      <w:r w:rsidRPr="00942409">
        <w:rPr>
          <w:rFonts w:ascii="Times New Roman" w:hAnsi="Times New Roman"/>
          <w:color w:val="000000"/>
          <w:sz w:val="24"/>
          <w:szCs w:val="24"/>
        </w:rPr>
        <w:t xml:space="preserve">- </w:t>
      </w:r>
      <w:r>
        <w:rPr>
          <w:rFonts w:ascii="Times New Roman" w:hAnsi="Times New Roman"/>
          <w:color w:val="000000"/>
          <w:sz w:val="24"/>
          <w:szCs w:val="24"/>
        </w:rPr>
        <w:tab/>
        <w:t>F</w:t>
      </w:r>
      <w:r w:rsidRPr="00942409">
        <w:rPr>
          <w:rFonts w:ascii="Times New Roman" w:hAnsi="Times New Roman"/>
          <w:color w:val="000000"/>
          <w:sz w:val="24"/>
          <w:szCs w:val="24"/>
        </w:rPr>
        <w:t>inansal tabloda veya unsurda aktarılan bilgileri</w:t>
      </w:r>
      <w:r>
        <w:rPr>
          <w:rFonts w:ascii="Times New Roman" w:hAnsi="Times New Roman"/>
          <w:color w:val="000000"/>
          <w:sz w:val="24"/>
          <w:szCs w:val="24"/>
        </w:rPr>
        <w:t xml:space="preserve"> ve</w:t>
      </w:r>
      <w:r w:rsidRPr="00942409">
        <w:rPr>
          <w:rFonts w:ascii="Times New Roman" w:hAnsi="Times New Roman"/>
          <w:color w:val="000000"/>
          <w:sz w:val="24"/>
          <w:szCs w:val="24"/>
        </w:rPr>
        <w:t xml:space="preserve"> </w:t>
      </w:r>
    </w:p>
    <w:p w:rsidR="00285C13" w:rsidRPr="009E0269" w:rsidRDefault="00285C13" w:rsidP="00741E60">
      <w:pPr>
        <w:spacing w:before="120" w:after="120" w:line="276" w:lineRule="auto"/>
        <w:ind w:left="1413" w:right="142" w:hanging="705"/>
        <w:jc w:val="both"/>
        <w:rPr>
          <w:rFonts w:ascii="Times New Roman" w:hAnsi="Times New Roman"/>
          <w:color w:val="000000"/>
          <w:sz w:val="24"/>
          <w:szCs w:val="24"/>
        </w:rPr>
      </w:pPr>
      <w:r w:rsidRPr="00942409">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ab/>
        <w:t>Ö</w:t>
      </w:r>
      <w:r w:rsidRPr="00942409">
        <w:rPr>
          <w:rFonts w:ascii="Times New Roman" w:hAnsi="Times New Roman"/>
          <w:color w:val="000000"/>
          <w:sz w:val="24"/>
          <w:szCs w:val="24"/>
        </w:rPr>
        <w:t>nemli işlem ve olayların</w:t>
      </w:r>
      <w:r w:rsidRPr="00550CD8">
        <w:rPr>
          <w:rFonts w:ascii="Times New Roman" w:hAnsi="Times New Roman"/>
          <w:color w:val="000000"/>
          <w:sz w:val="24"/>
          <w:szCs w:val="24"/>
        </w:rPr>
        <w:t>,</w:t>
      </w:r>
      <w:r w:rsidRPr="009E0269">
        <w:rPr>
          <w:rFonts w:ascii="Times New Roman" w:hAnsi="Times New Roman"/>
          <w:color w:val="000000"/>
          <w:sz w:val="24"/>
          <w:szCs w:val="24"/>
        </w:rPr>
        <w:t xml:space="preserve"> söz konusu finansal tabloda veya unsurda aktarılan bilgiler üzerindeki etkilerini</w:t>
      </w:r>
    </w:p>
    <w:p w:rsidR="00285C13" w:rsidRPr="00942409" w:rsidRDefault="00285C13">
      <w:pPr>
        <w:spacing w:before="120" w:after="120" w:line="276" w:lineRule="auto"/>
        <w:ind w:left="708"/>
        <w:jc w:val="both"/>
        <w:rPr>
          <w:rFonts w:ascii="Times New Roman" w:hAnsi="Times New Roman"/>
          <w:color w:val="000000"/>
          <w:sz w:val="24"/>
          <w:szCs w:val="24"/>
        </w:rPr>
      </w:pPr>
      <w:r w:rsidRPr="00942409">
        <w:rPr>
          <w:rFonts w:ascii="Times New Roman" w:hAnsi="Times New Roman"/>
          <w:color w:val="000000"/>
          <w:sz w:val="24"/>
          <w:szCs w:val="24"/>
        </w:rPr>
        <w:t>anlayabilmelerin</w:t>
      </w:r>
      <w:r>
        <w:rPr>
          <w:rFonts w:ascii="Times New Roman" w:hAnsi="Times New Roman"/>
          <w:color w:val="000000"/>
          <w:sz w:val="24"/>
          <w:szCs w:val="24"/>
        </w:rPr>
        <w:t>e</w:t>
      </w:r>
      <w:r w:rsidRPr="00942409">
        <w:rPr>
          <w:rFonts w:ascii="Times New Roman" w:hAnsi="Times New Roman"/>
          <w:color w:val="000000"/>
          <w:sz w:val="24"/>
          <w:szCs w:val="24"/>
        </w:rPr>
        <w:t xml:space="preserve"> </w:t>
      </w:r>
      <w:r>
        <w:rPr>
          <w:rFonts w:ascii="Times New Roman" w:hAnsi="Times New Roman"/>
          <w:color w:val="000000"/>
          <w:sz w:val="24"/>
          <w:szCs w:val="24"/>
        </w:rPr>
        <w:t>imkân tanıyacak</w:t>
      </w:r>
      <w:r w:rsidRPr="00942409">
        <w:rPr>
          <w:rFonts w:ascii="Times New Roman" w:hAnsi="Times New Roman"/>
          <w:color w:val="000000"/>
          <w:sz w:val="24"/>
          <w:szCs w:val="24"/>
        </w:rPr>
        <w:t xml:space="preserve"> yeterli açıklamalar</w:t>
      </w:r>
      <w:r>
        <w:rPr>
          <w:rFonts w:ascii="Times New Roman" w:hAnsi="Times New Roman"/>
          <w:color w:val="000000"/>
          <w:sz w:val="24"/>
          <w:szCs w:val="24"/>
        </w:rPr>
        <w:t xml:space="preserve">ı sağlaması </w:t>
      </w:r>
      <w:r w:rsidRPr="00942409">
        <w:rPr>
          <w:rFonts w:ascii="Times New Roman" w:hAnsi="Times New Roman"/>
          <w:color w:val="000000"/>
          <w:sz w:val="24"/>
          <w:szCs w:val="24"/>
        </w:rPr>
        <w:t>önemlidir.</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A16. </w:t>
      </w:r>
      <w:r w:rsidRPr="00942409">
        <w:rPr>
          <w:rFonts w:ascii="Times New Roman" w:hAnsi="Times New Roman"/>
          <w:sz w:val="24"/>
          <w:szCs w:val="24"/>
        </w:rPr>
        <w:tab/>
      </w:r>
      <w:r w:rsidRPr="00942409">
        <w:rPr>
          <w:rFonts w:ascii="Times New Roman" w:hAnsi="Times New Roman"/>
          <w:color w:val="000000"/>
          <w:sz w:val="24"/>
          <w:szCs w:val="24"/>
        </w:rPr>
        <w:t>Bu BDS’de yer alan Ek 2, tek bir finansal tabloya ve finansal tablodaki belirli bir unsura ilişkin denetçi raporu örneklerini içermektedir.</w:t>
      </w:r>
    </w:p>
    <w:p w:rsidR="00285C13" w:rsidRPr="00942409" w:rsidRDefault="00285C13" w:rsidP="009E0269">
      <w:pPr>
        <w:keepNext/>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i/>
          <w:sz w:val="24"/>
          <w:szCs w:val="24"/>
        </w:rPr>
        <w:t xml:space="preserve">Tam Bir Finansal Tablolar Setine İlişkin Denetçi Raporunda Yer Alan Olumlu Görüş Dışındaki </w:t>
      </w:r>
      <w:r>
        <w:rPr>
          <w:rFonts w:ascii="Times New Roman" w:hAnsi="Times New Roman"/>
          <w:i/>
          <w:sz w:val="24"/>
          <w:szCs w:val="24"/>
        </w:rPr>
        <w:t xml:space="preserve">Bir </w:t>
      </w:r>
      <w:r w:rsidRPr="00942409">
        <w:rPr>
          <w:rFonts w:ascii="Times New Roman" w:hAnsi="Times New Roman"/>
          <w:i/>
          <w:sz w:val="24"/>
          <w:szCs w:val="24"/>
        </w:rPr>
        <w:t>Görüş, Dikkat Çekilen Hususlar Paragrafı veya Diğer Hususlar Paragrafı</w:t>
      </w:r>
      <w:r w:rsidRPr="00942409">
        <w:rPr>
          <w:rFonts w:ascii="Times New Roman" w:hAnsi="Times New Roman"/>
          <w:sz w:val="24"/>
          <w:szCs w:val="24"/>
        </w:rPr>
        <w:t xml:space="preserve"> </w:t>
      </w:r>
      <w:r w:rsidRPr="00942409">
        <w:rPr>
          <w:rFonts w:ascii="Times New Roman" w:hAnsi="Times New Roman"/>
          <w:color w:val="000000"/>
          <w:sz w:val="24"/>
          <w:szCs w:val="24"/>
        </w:rPr>
        <w:t xml:space="preserve">(Bakınız: 14-15 inci paragraflar) </w:t>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 xml:space="preserve">A17. </w:t>
      </w:r>
      <w:r w:rsidRPr="00942409">
        <w:rPr>
          <w:rFonts w:ascii="Times New Roman" w:hAnsi="Times New Roman"/>
          <w:sz w:val="24"/>
          <w:szCs w:val="24"/>
        </w:rPr>
        <w:tab/>
      </w:r>
      <w:r w:rsidRPr="00942409">
        <w:rPr>
          <w:rFonts w:ascii="Times New Roman" w:hAnsi="Times New Roman"/>
          <w:color w:val="000000"/>
          <w:sz w:val="24"/>
          <w:szCs w:val="24"/>
        </w:rPr>
        <w:t xml:space="preserve">İşletmenin tam bir finansal tablolar setine ilişkin olumlu görüş dışındaki </w:t>
      </w:r>
      <w:r>
        <w:rPr>
          <w:rFonts w:ascii="Times New Roman" w:hAnsi="Times New Roman"/>
          <w:color w:val="000000"/>
          <w:sz w:val="24"/>
          <w:szCs w:val="24"/>
        </w:rPr>
        <w:t xml:space="preserve">bir </w:t>
      </w:r>
      <w:r w:rsidRPr="00942409">
        <w:rPr>
          <w:rFonts w:ascii="Times New Roman" w:hAnsi="Times New Roman"/>
          <w:color w:val="000000"/>
          <w:sz w:val="24"/>
          <w:szCs w:val="24"/>
        </w:rPr>
        <w:t>görüş, Dikkat Çekilen Hususlar paragrafı veya Diğer Hususlar paragrafı</w:t>
      </w:r>
      <w:r>
        <w:rPr>
          <w:rFonts w:ascii="Times New Roman" w:hAnsi="Times New Roman"/>
          <w:color w:val="000000"/>
          <w:sz w:val="24"/>
          <w:szCs w:val="24"/>
        </w:rPr>
        <w:t>,</w:t>
      </w:r>
      <w:r w:rsidRPr="00942409">
        <w:rPr>
          <w:rFonts w:ascii="Times New Roman" w:hAnsi="Times New Roman"/>
          <w:color w:val="000000"/>
          <w:sz w:val="24"/>
          <w:szCs w:val="24"/>
        </w:rPr>
        <w:t xml:space="preserve"> denetlen</w:t>
      </w:r>
      <w:r>
        <w:rPr>
          <w:rFonts w:ascii="Times New Roman" w:hAnsi="Times New Roman"/>
          <w:color w:val="000000"/>
          <w:sz w:val="24"/>
          <w:szCs w:val="24"/>
        </w:rPr>
        <w:t>en</w:t>
      </w:r>
      <w:r w:rsidRPr="00942409">
        <w:rPr>
          <w:rFonts w:ascii="Times New Roman" w:hAnsi="Times New Roman"/>
          <w:color w:val="000000"/>
          <w:sz w:val="24"/>
          <w:szCs w:val="24"/>
        </w:rPr>
        <w:t xml:space="preserve"> tek bir finansal tablo veya unsurla ilgili olmasa dahi</w:t>
      </w:r>
      <w:r w:rsidRPr="00986464">
        <w:rPr>
          <w:rFonts w:ascii="Times New Roman" w:hAnsi="Times New Roman"/>
          <w:color w:val="000000"/>
          <w:sz w:val="24"/>
          <w:szCs w:val="24"/>
        </w:rPr>
        <w:t xml:space="preserve"> </w:t>
      </w:r>
      <w:r w:rsidRPr="00942409">
        <w:rPr>
          <w:rFonts w:ascii="Times New Roman" w:hAnsi="Times New Roman"/>
          <w:color w:val="000000"/>
          <w:sz w:val="24"/>
          <w:szCs w:val="24"/>
        </w:rPr>
        <w:t>denetçi, söz konusu finansal tabloya ve</w:t>
      </w:r>
      <w:r>
        <w:rPr>
          <w:rFonts w:ascii="Times New Roman" w:hAnsi="Times New Roman"/>
          <w:color w:val="000000"/>
          <w:sz w:val="24"/>
          <w:szCs w:val="24"/>
        </w:rPr>
        <w:t>ya</w:t>
      </w:r>
      <w:r w:rsidRPr="00942409">
        <w:rPr>
          <w:rFonts w:ascii="Times New Roman" w:hAnsi="Times New Roman"/>
          <w:color w:val="000000"/>
          <w:sz w:val="24"/>
          <w:szCs w:val="24"/>
        </w:rPr>
        <w:t xml:space="preserve"> unsura ilişkin denetçi raporun</w:t>
      </w:r>
      <w:r>
        <w:rPr>
          <w:rFonts w:ascii="Times New Roman" w:hAnsi="Times New Roman"/>
          <w:color w:val="000000"/>
          <w:sz w:val="24"/>
          <w:szCs w:val="24"/>
        </w:rPr>
        <w:t xml:space="preserve">da yer alan </w:t>
      </w:r>
      <w:r w:rsidRPr="00942409">
        <w:rPr>
          <w:rFonts w:ascii="Times New Roman" w:hAnsi="Times New Roman"/>
          <w:color w:val="000000"/>
          <w:sz w:val="24"/>
          <w:szCs w:val="24"/>
        </w:rPr>
        <w:t>Diğer Hususlar paragrafında</w:t>
      </w:r>
      <w:r>
        <w:rPr>
          <w:rFonts w:ascii="Times New Roman" w:hAnsi="Times New Roman"/>
          <w:color w:val="000000"/>
          <w:sz w:val="24"/>
          <w:szCs w:val="24"/>
        </w:rPr>
        <w:t>,</w:t>
      </w:r>
      <w:r w:rsidRPr="00942409">
        <w:rPr>
          <w:rFonts w:ascii="Times New Roman" w:hAnsi="Times New Roman"/>
          <w:color w:val="000000"/>
          <w:sz w:val="24"/>
          <w:szCs w:val="24"/>
        </w:rPr>
        <w:t xml:space="preserve"> </w:t>
      </w:r>
      <w:r>
        <w:rPr>
          <w:rFonts w:ascii="Times New Roman" w:hAnsi="Times New Roman"/>
          <w:color w:val="000000"/>
          <w:sz w:val="24"/>
          <w:szCs w:val="24"/>
        </w:rPr>
        <w:t xml:space="preserve">söz konusu </w:t>
      </w:r>
      <w:r w:rsidRPr="00942409">
        <w:rPr>
          <w:rFonts w:ascii="Times New Roman" w:hAnsi="Times New Roman"/>
          <w:color w:val="000000"/>
          <w:sz w:val="24"/>
          <w:szCs w:val="24"/>
        </w:rPr>
        <w:t>olumlu görüş dışındaki</w:t>
      </w:r>
      <w:r>
        <w:rPr>
          <w:rFonts w:ascii="Times New Roman" w:hAnsi="Times New Roman"/>
          <w:color w:val="000000"/>
          <w:sz w:val="24"/>
          <w:szCs w:val="24"/>
        </w:rPr>
        <w:t xml:space="preserve"> </w:t>
      </w:r>
      <w:r w:rsidRPr="00942409">
        <w:rPr>
          <w:rFonts w:ascii="Times New Roman" w:hAnsi="Times New Roman"/>
          <w:color w:val="000000"/>
          <w:sz w:val="24"/>
          <w:szCs w:val="24"/>
        </w:rPr>
        <w:t>görüşe atıf yapmayı uygun görebilir</w:t>
      </w:r>
      <w:r>
        <w:rPr>
          <w:rFonts w:ascii="Times New Roman" w:hAnsi="Times New Roman"/>
          <w:color w:val="000000"/>
          <w:sz w:val="24"/>
          <w:szCs w:val="24"/>
        </w:rPr>
        <w:t>. Çünkü denetçi, böyle bir atıf yapmanın,</w:t>
      </w:r>
      <w:r w:rsidRPr="00942409">
        <w:rPr>
          <w:rFonts w:ascii="Times New Roman" w:hAnsi="Times New Roman"/>
          <w:color w:val="000000"/>
          <w:sz w:val="24"/>
          <w:szCs w:val="24"/>
        </w:rPr>
        <w:t xml:space="preserve"> denetlen</w:t>
      </w:r>
      <w:r>
        <w:rPr>
          <w:rFonts w:ascii="Times New Roman" w:hAnsi="Times New Roman"/>
          <w:color w:val="000000"/>
          <w:sz w:val="24"/>
          <w:szCs w:val="24"/>
        </w:rPr>
        <w:t>en</w:t>
      </w:r>
      <w:r w:rsidRPr="00942409">
        <w:rPr>
          <w:rFonts w:ascii="Times New Roman" w:hAnsi="Times New Roman"/>
          <w:color w:val="000000"/>
          <w:sz w:val="24"/>
          <w:szCs w:val="24"/>
        </w:rPr>
        <w:t xml:space="preserve"> tek bir finansal tablonun, unsurun veya ilgili denet</w:t>
      </w:r>
      <w:r>
        <w:rPr>
          <w:rFonts w:ascii="Times New Roman" w:hAnsi="Times New Roman"/>
          <w:color w:val="000000"/>
          <w:sz w:val="24"/>
          <w:szCs w:val="24"/>
        </w:rPr>
        <w:t>çi</w:t>
      </w:r>
      <w:r w:rsidRPr="00942409">
        <w:rPr>
          <w:rFonts w:ascii="Times New Roman" w:hAnsi="Times New Roman"/>
          <w:color w:val="000000"/>
          <w:sz w:val="24"/>
          <w:szCs w:val="24"/>
        </w:rPr>
        <w:t xml:space="preserve"> </w:t>
      </w:r>
      <w:r w:rsidRPr="00550CD8">
        <w:rPr>
          <w:rFonts w:ascii="Times New Roman" w:hAnsi="Times New Roman"/>
          <w:color w:val="000000"/>
          <w:sz w:val="24"/>
          <w:szCs w:val="24"/>
        </w:rPr>
        <w:t xml:space="preserve">raporunun </w:t>
      </w:r>
      <w:r w:rsidRPr="009E0269">
        <w:rPr>
          <w:rFonts w:ascii="Times New Roman" w:hAnsi="Times New Roman"/>
          <w:color w:val="000000"/>
          <w:sz w:val="24"/>
          <w:szCs w:val="24"/>
        </w:rPr>
        <w:t>kullanıcılar tarafından anlaşılmasıyla ilgili</w:t>
      </w:r>
      <w:r w:rsidRPr="00550CD8">
        <w:rPr>
          <w:rFonts w:ascii="Times New Roman" w:hAnsi="Times New Roman"/>
          <w:color w:val="000000"/>
          <w:sz w:val="24"/>
          <w:szCs w:val="24"/>
        </w:rPr>
        <w:t xml:space="preserve"> </w:t>
      </w:r>
      <w:r w:rsidRPr="00942409">
        <w:rPr>
          <w:rFonts w:ascii="Times New Roman" w:hAnsi="Times New Roman"/>
          <w:color w:val="000000"/>
          <w:sz w:val="24"/>
          <w:szCs w:val="24"/>
        </w:rPr>
        <w:t>olduğu</w:t>
      </w:r>
      <w:r>
        <w:rPr>
          <w:rFonts w:ascii="Times New Roman" w:hAnsi="Times New Roman"/>
          <w:color w:val="000000"/>
          <w:sz w:val="24"/>
          <w:szCs w:val="24"/>
        </w:rPr>
        <w:t xml:space="preserve"> yargısına varmıştır </w:t>
      </w:r>
      <w:r w:rsidRPr="00942409">
        <w:rPr>
          <w:rFonts w:ascii="Times New Roman" w:hAnsi="Times New Roman"/>
          <w:color w:val="000000"/>
          <w:sz w:val="24"/>
          <w:szCs w:val="24"/>
        </w:rPr>
        <w:t>(Bakınız: BDS 706).</w:t>
      </w:r>
      <w:r w:rsidRPr="00942409">
        <w:rPr>
          <w:rStyle w:val="FootnoteReference"/>
          <w:rFonts w:ascii="Times New Roman" w:hAnsi="Times New Roman"/>
          <w:color w:val="000000"/>
          <w:sz w:val="24"/>
          <w:szCs w:val="24"/>
        </w:rPr>
        <w:footnoteReference w:id="22"/>
      </w:r>
      <w:r>
        <w:rPr>
          <w:rFonts w:ascii="Times New Roman" w:hAnsi="Times New Roman"/>
          <w:color w:val="000000"/>
          <w:sz w:val="24"/>
          <w:szCs w:val="24"/>
        </w:rPr>
        <w:t xml:space="preserve"> </w:t>
      </w:r>
    </w:p>
    <w:p w:rsidR="00285C13" w:rsidRPr="00942409" w:rsidRDefault="00285C13" w:rsidP="009E0269">
      <w:pPr>
        <w:spacing w:before="120" w:after="120" w:line="276" w:lineRule="auto"/>
        <w:ind w:left="705" w:hanging="705"/>
        <w:jc w:val="both"/>
        <w:rPr>
          <w:rFonts w:ascii="Times New Roman" w:hAnsi="Times New Roman"/>
          <w:color w:val="000000"/>
          <w:sz w:val="24"/>
          <w:szCs w:val="24"/>
        </w:rPr>
      </w:pPr>
      <w:r w:rsidRPr="00FF3FCE">
        <w:rPr>
          <w:rFonts w:ascii="Times New Roman" w:hAnsi="Times New Roman"/>
          <w:color w:val="000000"/>
          <w:sz w:val="24"/>
          <w:szCs w:val="24"/>
        </w:rPr>
        <w:t xml:space="preserve">A18. </w:t>
      </w:r>
      <w:r w:rsidRPr="00FF3FCE">
        <w:rPr>
          <w:rFonts w:ascii="Times New Roman" w:hAnsi="Times New Roman"/>
          <w:sz w:val="24"/>
          <w:szCs w:val="24"/>
        </w:rPr>
        <w:tab/>
        <w:t>Bazı denetim standardı setleri</w:t>
      </w:r>
      <w:r w:rsidRPr="009E0269">
        <w:rPr>
          <w:rFonts w:ascii="Times New Roman" w:hAnsi="Times New Roman"/>
          <w:sz w:val="24"/>
          <w:szCs w:val="24"/>
        </w:rPr>
        <w:t>,</w:t>
      </w:r>
      <w:r w:rsidRPr="00FF3FCE">
        <w:rPr>
          <w:rFonts w:ascii="Times New Roman" w:hAnsi="Times New Roman"/>
          <w:sz w:val="24"/>
          <w:szCs w:val="24"/>
        </w:rPr>
        <w:t xml:space="preserve"> </w:t>
      </w:r>
      <w:r w:rsidRPr="009E0269">
        <w:rPr>
          <w:rFonts w:ascii="Times New Roman" w:hAnsi="Times New Roman"/>
          <w:color w:val="000000"/>
          <w:sz w:val="24"/>
          <w:szCs w:val="24"/>
        </w:rPr>
        <w:t xml:space="preserve">işletmenin tam bir finansal tablo setine ilişkin denetçi raporunda, faaliyet sonuçları ve nakit akışlarıyla ilgili olarak görüş vermekten kaçınıldığının ifade edilmesine </w:t>
      </w:r>
      <w:r w:rsidRPr="00FF3FCE">
        <w:rPr>
          <w:rFonts w:ascii="Times New Roman" w:hAnsi="Times New Roman"/>
          <w:color w:val="000000"/>
          <w:sz w:val="24"/>
          <w:szCs w:val="24"/>
        </w:rPr>
        <w:t>ancak</w:t>
      </w:r>
      <w:r w:rsidRPr="009E0269">
        <w:rPr>
          <w:rFonts w:ascii="Times New Roman" w:hAnsi="Times New Roman"/>
          <w:color w:val="000000"/>
          <w:sz w:val="24"/>
          <w:szCs w:val="24"/>
        </w:rPr>
        <w:t xml:space="preserve"> finansal duruma ilişkin olumlu görüş verilmesine izin verebilir ancak</w:t>
      </w:r>
      <w:r w:rsidRPr="009E0269">
        <w:rPr>
          <w:rFonts w:ascii="Times New Roman" w:hAnsi="Times New Roman"/>
          <w:sz w:val="24"/>
          <w:szCs w:val="24"/>
        </w:rPr>
        <w:t xml:space="preserve"> BDS’lerde böyle bir duruma izin </w:t>
      </w:r>
      <w:r w:rsidRPr="009E0269">
        <w:rPr>
          <w:rFonts w:ascii="Times New Roman" w:hAnsi="Times New Roman"/>
          <w:color w:val="000000"/>
          <w:sz w:val="24"/>
          <w:szCs w:val="24"/>
        </w:rPr>
        <w:t>veril</w:t>
      </w:r>
      <w:r w:rsidRPr="00FF3FCE">
        <w:rPr>
          <w:rFonts w:ascii="Times New Roman" w:hAnsi="Times New Roman"/>
          <w:color w:val="000000"/>
          <w:sz w:val="24"/>
          <w:szCs w:val="24"/>
        </w:rPr>
        <w:t>me</w:t>
      </w:r>
      <w:r w:rsidRPr="009E0269">
        <w:rPr>
          <w:rFonts w:ascii="Times New Roman" w:hAnsi="Times New Roman"/>
          <w:color w:val="000000"/>
          <w:sz w:val="24"/>
          <w:szCs w:val="24"/>
        </w:rPr>
        <w:t xml:space="preserve">mektedir. </w:t>
      </w:r>
      <w:r w:rsidRPr="009E0269">
        <w:rPr>
          <w:rStyle w:val="FootnoteReference"/>
          <w:rFonts w:ascii="Times New Roman" w:hAnsi="Times New Roman"/>
          <w:color w:val="000000"/>
          <w:sz w:val="24"/>
          <w:szCs w:val="24"/>
        </w:rPr>
        <w:footnoteReference w:id="23"/>
      </w:r>
    </w:p>
    <w:p w:rsidR="00285C13" w:rsidRPr="00942409" w:rsidRDefault="00285C13">
      <w:pPr>
        <w:spacing w:before="120" w:after="120" w:line="276" w:lineRule="auto"/>
        <w:ind w:left="708" w:hanging="708"/>
        <w:jc w:val="both"/>
        <w:rPr>
          <w:rFonts w:ascii="Times New Roman" w:hAnsi="Times New Roman"/>
          <w:color w:val="000000"/>
          <w:sz w:val="24"/>
          <w:szCs w:val="24"/>
        </w:rPr>
      </w:pPr>
      <w:r w:rsidRPr="00942409">
        <w:rPr>
          <w:rFonts w:ascii="Times New Roman" w:hAnsi="Times New Roman"/>
          <w:color w:val="000000"/>
          <w:sz w:val="24"/>
          <w:szCs w:val="24"/>
        </w:rPr>
        <w:tab/>
      </w:r>
    </w:p>
    <w:p w:rsidR="00285C13" w:rsidRPr="00942409" w:rsidRDefault="00285C13" w:rsidP="009E0269">
      <w:pPr>
        <w:spacing w:before="120" w:after="120" w:line="276" w:lineRule="auto"/>
        <w:ind w:right="142"/>
        <w:jc w:val="both"/>
        <w:rPr>
          <w:rFonts w:ascii="Times New Roman" w:hAnsi="Times New Roman"/>
          <w:b/>
          <w:bCs/>
          <w:color w:val="000000"/>
          <w:sz w:val="17"/>
          <w:szCs w:val="17"/>
        </w:rPr>
      </w:pPr>
      <w:r w:rsidRPr="00942409">
        <w:rPr>
          <w:rFonts w:ascii="Times New Roman" w:hAnsi="Times New Roman"/>
        </w:rPr>
        <w:br w:type="page"/>
      </w:r>
    </w:p>
    <w:p w:rsidR="00285C13" w:rsidRPr="00942409" w:rsidRDefault="00285C13" w:rsidP="009E0269">
      <w:pPr>
        <w:autoSpaceDE w:val="0"/>
        <w:autoSpaceDN w:val="0"/>
        <w:adjustRightInd w:val="0"/>
        <w:spacing w:before="120" w:after="120" w:line="276" w:lineRule="auto"/>
        <w:ind w:right="142"/>
        <w:jc w:val="right"/>
        <w:rPr>
          <w:rFonts w:ascii="Times New Roman" w:hAnsi="Times New Roman"/>
          <w:b/>
          <w:bCs/>
          <w:color w:val="000000"/>
          <w:sz w:val="27"/>
          <w:szCs w:val="27"/>
        </w:rPr>
      </w:pPr>
      <w:r w:rsidRPr="00942409">
        <w:rPr>
          <w:rFonts w:ascii="Times New Roman" w:hAnsi="Times New Roman"/>
          <w:b/>
          <w:color w:val="000000"/>
          <w:sz w:val="27"/>
          <w:szCs w:val="27"/>
        </w:rPr>
        <w:t>Ek 1</w:t>
      </w:r>
    </w:p>
    <w:p w:rsidR="00285C13" w:rsidRPr="00942409" w:rsidRDefault="00285C13" w:rsidP="009E0269">
      <w:pPr>
        <w:autoSpaceDE w:val="0"/>
        <w:autoSpaceDN w:val="0"/>
        <w:adjustRightInd w:val="0"/>
        <w:spacing w:before="120" w:after="120" w:line="276" w:lineRule="auto"/>
        <w:ind w:right="142"/>
        <w:jc w:val="right"/>
        <w:rPr>
          <w:rFonts w:ascii="Times New Roman" w:hAnsi="Times New Roman"/>
          <w:bCs/>
          <w:color w:val="000000"/>
          <w:sz w:val="24"/>
          <w:szCs w:val="24"/>
        </w:rPr>
      </w:pPr>
      <w:r w:rsidRPr="00942409">
        <w:rPr>
          <w:rFonts w:ascii="Times New Roman" w:hAnsi="Times New Roman"/>
          <w:color w:val="000000"/>
          <w:sz w:val="24"/>
          <w:szCs w:val="24"/>
        </w:rPr>
        <w:t>(Bakınız: A3 paragrafı)</w:t>
      </w:r>
    </w:p>
    <w:p w:rsidR="00285C13" w:rsidRPr="00FF3FCE" w:rsidRDefault="00285C13" w:rsidP="009E0269">
      <w:pPr>
        <w:autoSpaceDE w:val="0"/>
        <w:autoSpaceDN w:val="0"/>
        <w:adjustRightInd w:val="0"/>
        <w:spacing w:before="120" w:after="120" w:line="276" w:lineRule="auto"/>
        <w:ind w:right="142"/>
        <w:jc w:val="both"/>
        <w:rPr>
          <w:rFonts w:ascii="Times New Roman" w:hAnsi="Times New Roman"/>
          <w:b/>
          <w:bCs/>
          <w:color w:val="000000"/>
          <w:sz w:val="27"/>
          <w:szCs w:val="27"/>
        </w:rPr>
      </w:pPr>
      <w:r w:rsidRPr="00FF3FCE">
        <w:rPr>
          <w:rFonts w:ascii="Times New Roman" w:hAnsi="Times New Roman"/>
          <w:b/>
          <w:color w:val="000000"/>
          <w:sz w:val="27"/>
          <w:szCs w:val="27"/>
        </w:rPr>
        <w:t>Finansal Tablodaki Belirli Unsur, Hesap veya Kalemlere İlişkin Örnekler</w:t>
      </w:r>
    </w:p>
    <w:p w:rsidR="00285C13" w:rsidRPr="00FF3FCE" w:rsidRDefault="00285C13" w:rsidP="009E0269">
      <w:pPr>
        <w:pStyle w:val="ListParagraph"/>
        <w:numPr>
          <w:ilvl w:val="0"/>
          <w:numId w:val="13"/>
        </w:numPr>
        <w:autoSpaceDE w:val="0"/>
        <w:autoSpaceDN w:val="0"/>
        <w:adjustRightInd w:val="0"/>
        <w:spacing w:before="120" w:after="120" w:line="276" w:lineRule="auto"/>
        <w:ind w:right="142" w:hanging="720"/>
        <w:contextualSpacing w:val="0"/>
        <w:jc w:val="both"/>
        <w:rPr>
          <w:rFonts w:ascii="Times New Roman" w:hAnsi="Times New Roman"/>
          <w:color w:val="000000"/>
          <w:sz w:val="24"/>
          <w:szCs w:val="24"/>
        </w:rPr>
      </w:pPr>
      <w:r w:rsidRPr="00FF3FCE">
        <w:rPr>
          <w:rFonts w:ascii="Times New Roman" w:hAnsi="Times New Roman"/>
          <w:sz w:val="24"/>
          <w:szCs w:val="24"/>
        </w:rPr>
        <w:t>İlgili dipnotlar dâhil; alacak hesapları, şüpheli alacaklar için ayrılan karşılıklar, stoklar, özel emeklilik planının tahakkuk eden faydalarına ilişkin yükümlülük, maddi olmayan duran varlıkların kayıtlı değeri veya bir sigorta portföyündeki “gerçekleşmiş ancak rapor edilmemiş” hasarlara ilişkin yükümlülük.</w:t>
      </w:r>
    </w:p>
    <w:p w:rsidR="00285C13" w:rsidRPr="00FF3FCE" w:rsidRDefault="00285C13" w:rsidP="009E0269">
      <w:pPr>
        <w:pStyle w:val="ListParagraph"/>
        <w:numPr>
          <w:ilvl w:val="0"/>
          <w:numId w:val="13"/>
        </w:numPr>
        <w:autoSpaceDE w:val="0"/>
        <w:autoSpaceDN w:val="0"/>
        <w:adjustRightInd w:val="0"/>
        <w:spacing w:before="120" w:after="120" w:line="276" w:lineRule="auto"/>
        <w:ind w:right="142" w:hanging="720"/>
        <w:contextualSpacing w:val="0"/>
        <w:jc w:val="both"/>
        <w:rPr>
          <w:rFonts w:ascii="Times New Roman" w:hAnsi="Times New Roman"/>
          <w:color w:val="000000"/>
          <w:sz w:val="24"/>
          <w:szCs w:val="24"/>
        </w:rPr>
      </w:pPr>
      <w:r w:rsidRPr="00FF3FCE">
        <w:rPr>
          <w:rFonts w:ascii="Times New Roman" w:hAnsi="Times New Roman"/>
          <w:sz w:val="24"/>
          <w:szCs w:val="24"/>
        </w:rPr>
        <w:t>İlgili dipnotlar dâhil, bir özel emeklilik planının dışarıdan yönetilen varlıklarına ve gelirine ilişkin tablo.</w:t>
      </w:r>
    </w:p>
    <w:p w:rsidR="00285C13" w:rsidRPr="00FF3FCE" w:rsidRDefault="00285C13" w:rsidP="009E0269">
      <w:pPr>
        <w:pStyle w:val="ListParagraph"/>
        <w:numPr>
          <w:ilvl w:val="0"/>
          <w:numId w:val="13"/>
        </w:numPr>
        <w:autoSpaceDE w:val="0"/>
        <w:autoSpaceDN w:val="0"/>
        <w:adjustRightInd w:val="0"/>
        <w:spacing w:before="120" w:after="120" w:line="276" w:lineRule="auto"/>
        <w:ind w:right="142" w:hanging="720"/>
        <w:contextualSpacing w:val="0"/>
        <w:jc w:val="both"/>
        <w:rPr>
          <w:rFonts w:ascii="Times New Roman" w:hAnsi="Times New Roman"/>
          <w:sz w:val="24"/>
          <w:szCs w:val="24"/>
        </w:rPr>
      </w:pPr>
      <w:r w:rsidRPr="00FF3FCE">
        <w:rPr>
          <w:rFonts w:ascii="Times New Roman" w:hAnsi="Times New Roman"/>
          <w:sz w:val="24"/>
          <w:szCs w:val="24"/>
        </w:rPr>
        <w:t>İlgili dipnotlar dâhil, net maddi duran varlıklara ilişkin tablo.</w:t>
      </w:r>
    </w:p>
    <w:p w:rsidR="00285C13" w:rsidRPr="00FF3FCE" w:rsidRDefault="00285C13" w:rsidP="009E0269">
      <w:pPr>
        <w:pStyle w:val="ListParagraph"/>
        <w:numPr>
          <w:ilvl w:val="0"/>
          <w:numId w:val="13"/>
        </w:numPr>
        <w:autoSpaceDE w:val="0"/>
        <w:autoSpaceDN w:val="0"/>
        <w:adjustRightInd w:val="0"/>
        <w:spacing w:before="120" w:after="120" w:line="276" w:lineRule="auto"/>
        <w:ind w:right="142" w:hanging="720"/>
        <w:contextualSpacing w:val="0"/>
        <w:jc w:val="both"/>
        <w:rPr>
          <w:rFonts w:ascii="Times New Roman" w:hAnsi="Times New Roman"/>
          <w:sz w:val="24"/>
          <w:szCs w:val="24"/>
        </w:rPr>
      </w:pPr>
      <w:r w:rsidRPr="00FF3FCE">
        <w:rPr>
          <w:rFonts w:ascii="Times New Roman" w:hAnsi="Times New Roman"/>
          <w:sz w:val="24"/>
          <w:szCs w:val="24"/>
        </w:rPr>
        <w:t xml:space="preserve">Açıklayıcı notlar dâhil, kiralanan </w:t>
      </w:r>
      <w:r>
        <w:rPr>
          <w:rFonts w:ascii="Times New Roman" w:hAnsi="Times New Roman"/>
          <w:sz w:val="24"/>
          <w:szCs w:val="24"/>
        </w:rPr>
        <w:t xml:space="preserve">bir </w:t>
      </w:r>
      <w:r w:rsidRPr="00FF3FCE">
        <w:rPr>
          <w:rFonts w:ascii="Times New Roman" w:hAnsi="Times New Roman"/>
          <w:sz w:val="24"/>
          <w:szCs w:val="24"/>
        </w:rPr>
        <w:t>varlıkla ilgili ödemelere ilişkin tablo.</w:t>
      </w:r>
    </w:p>
    <w:p w:rsidR="00285C13" w:rsidRPr="00FF3FCE" w:rsidRDefault="00285C13" w:rsidP="009E0269">
      <w:pPr>
        <w:pStyle w:val="ListParagraph"/>
        <w:numPr>
          <w:ilvl w:val="0"/>
          <w:numId w:val="13"/>
        </w:numPr>
        <w:autoSpaceDE w:val="0"/>
        <w:autoSpaceDN w:val="0"/>
        <w:adjustRightInd w:val="0"/>
        <w:spacing w:before="120" w:after="120" w:line="276" w:lineRule="auto"/>
        <w:ind w:right="142" w:hanging="720"/>
        <w:contextualSpacing w:val="0"/>
        <w:jc w:val="both"/>
        <w:rPr>
          <w:rFonts w:ascii="Times New Roman" w:hAnsi="Times New Roman"/>
          <w:sz w:val="24"/>
          <w:szCs w:val="24"/>
        </w:rPr>
      </w:pPr>
      <w:r w:rsidRPr="00FF3FCE">
        <w:rPr>
          <w:rFonts w:ascii="Times New Roman" w:hAnsi="Times New Roman"/>
          <w:sz w:val="24"/>
          <w:szCs w:val="24"/>
        </w:rPr>
        <w:t>Açıklayıcı notlar dâhil, kâr ortaklığı veya çalışan ikramiyelerine ilişkin tablo.</w:t>
      </w:r>
    </w:p>
    <w:p w:rsidR="00285C13" w:rsidRPr="00942409" w:rsidRDefault="00285C13" w:rsidP="009E0269">
      <w:pPr>
        <w:spacing w:before="120" w:after="120" w:line="276" w:lineRule="auto"/>
        <w:ind w:right="142"/>
        <w:jc w:val="both"/>
        <w:rPr>
          <w:rFonts w:ascii="Times New Roman" w:hAnsi="Times New Roman"/>
          <w:b/>
          <w:bCs/>
          <w:color w:val="000000"/>
          <w:sz w:val="17"/>
          <w:szCs w:val="17"/>
        </w:rPr>
      </w:pPr>
      <w:r w:rsidRPr="00942409">
        <w:rPr>
          <w:rFonts w:ascii="Times New Roman" w:hAnsi="Times New Roman"/>
        </w:rPr>
        <w:br w:type="page"/>
      </w:r>
    </w:p>
    <w:p w:rsidR="00285C13" w:rsidRPr="00942409" w:rsidRDefault="00285C13" w:rsidP="009E0269">
      <w:pPr>
        <w:autoSpaceDE w:val="0"/>
        <w:autoSpaceDN w:val="0"/>
        <w:adjustRightInd w:val="0"/>
        <w:spacing w:before="120" w:after="120" w:line="276" w:lineRule="auto"/>
        <w:ind w:right="142"/>
        <w:jc w:val="right"/>
        <w:rPr>
          <w:rFonts w:ascii="Times New Roman" w:hAnsi="Times New Roman"/>
          <w:b/>
          <w:bCs/>
          <w:color w:val="000000"/>
          <w:sz w:val="27"/>
          <w:szCs w:val="27"/>
        </w:rPr>
      </w:pPr>
      <w:r w:rsidRPr="00942409">
        <w:rPr>
          <w:rFonts w:ascii="Times New Roman" w:hAnsi="Times New Roman"/>
          <w:b/>
          <w:color w:val="000000"/>
          <w:sz w:val="27"/>
          <w:szCs w:val="27"/>
        </w:rPr>
        <w:t>Ek 2</w:t>
      </w:r>
    </w:p>
    <w:p w:rsidR="00285C13" w:rsidRPr="00942409" w:rsidRDefault="00285C13" w:rsidP="009E0269">
      <w:pPr>
        <w:autoSpaceDE w:val="0"/>
        <w:autoSpaceDN w:val="0"/>
        <w:adjustRightInd w:val="0"/>
        <w:spacing w:before="120" w:after="120" w:line="276" w:lineRule="auto"/>
        <w:ind w:right="142"/>
        <w:jc w:val="right"/>
        <w:rPr>
          <w:rFonts w:ascii="Times New Roman" w:hAnsi="Times New Roman"/>
          <w:color w:val="000000"/>
          <w:sz w:val="24"/>
          <w:szCs w:val="24"/>
        </w:rPr>
      </w:pPr>
      <w:r w:rsidRPr="00942409">
        <w:rPr>
          <w:rFonts w:ascii="Times New Roman" w:hAnsi="Times New Roman"/>
          <w:color w:val="000000"/>
          <w:sz w:val="24"/>
          <w:szCs w:val="24"/>
        </w:rPr>
        <w:t>(Bakınız: A16 paragrafı)</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7"/>
          <w:szCs w:val="27"/>
        </w:rPr>
      </w:pPr>
      <w:r w:rsidRPr="00942409">
        <w:rPr>
          <w:rFonts w:ascii="Times New Roman" w:hAnsi="Times New Roman"/>
          <w:b/>
          <w:color w:val="000000"/>
          <w:sz w:val="27"/>
          <w:szCs w:val="27"/>
        </w:rPr>
        <w:t>Tek Bir Finansal Tabloya ve Finansal Tablodaki Belirli Bir Unsura İlişkin Denetçi Raporu Örnekleri</w:t>
      </w:r>
    </w:p>
    <w:p w:rsidR="00285C13" w:rsidRPr="00942409" w:rsidRDefault="00285C13" w:rsidP="009E0269">
      <w:pPr>
        <w:pStyle w:val="ListParagraph"/>
        <w:numPr>
          <w:ilvl w:val="0"/>
          <w:numId w:val="13"/>
        </w:numPr>
        <w:autoSpaceDE w:val="0"/>
        <w:autoSpaceDN w:val="0"/>
        <w:adjustRightInd w:val="0"/>
        <w:spacing w:before="120" w:after="120" w:line="276" w:lineRule="auto"/>
        <w:ind w:right="142" w:hanging="720"/>
        <w:contextualSpacing w:val="0"/>
        <w:jc w:val="both"/>
        <w:rPr>
          <w:rFonts w:ascii="Times New Roman" w:hAnsi="Times New Roman"/>
          <w:color w:val="000000"/>
          <w:sz w:val="24"/>
          <w:szCs w:val="24"/>
        </w:rPr>
      </w:pPr>
      <w:r w:rsidRPr="00942409">
        <w:rPr>
          <w:rFonts w:ascii="Times New Roman" w:hAnsi="Times New Roman"/>
          <w:sz w:val="24"/>
          <w:szCs w:val="24"/>
        </w:rPr>
        <w:t>Örnek</w:t>
      </w:r>
      <w:r>
        <w:rPr>
          <w:rFonts w:ascii="Times New Roman" w:hAnsi="Times New Roman"/>
          <w:sz w:val="24"/>
          <w:szCs w:val="24"/>
        </w:rPr>
        <w:t xml:space="preserve"> </w:t>
      </w:r>
      <w:r w:rsidRPr="00942409">
        <w:rPr>
          <w:rFonts w:ascii="Times New Roman" w:hAnsi="Times New Roman"/>
          <w:sz w:val="24"/>
          <w:szCs w:val="24"/>
        </w:rPr>
        <w:t>1:</w:t>
      </w:r>
      <w:r>
        <w:rPr>
          <w:rFonts w:ascii="Times New Roman" w:hAnsi="Times New Roman"/>
          <w:color w:val="000000"/>
          <w:sz w:val="24"/>
          <w:szCs w:val="24"/>
        </w:rPr>
        <w:t xml:space="preserve"> </w:t>
      </w:r>
      <w:r w:rsidRPr="00942409">
        <w:rPr>
          <w:rFonts w:ascii="Times New Roman" w:hAnsi="Times New Roman"/>
          <w:color w:val="000000"/>
          <w:sz w:val="24"/>
          <w:szCs w:val="24"/>
        </w:rPr>
        <w:t xml:space="preserve">Genel amaçlı </w:t>
      </w:r>
      <w:r>
        <w:rPr>
          <w:rFonts w:ascii="Times New Roman" w:hAnsi="Times New Roman"/>
          <w:color w:val="000000"/>
          <w:sz w:val="24"/>
          <w:szCs w:val="24"/>
        </w:rPr>
        <w:t xml:space="preserve">bir </w:t>
      </w:r>
      <w:r w:rsidRPr="00942409">
        <w:rPr>
          <w:rFonts w:ascii="Times New Roman" w:hAnsi="Times New Roman"/>
          <w:color w:val="000000"/>
          <w:sz w:val="24"/>
          <w:szCs w:val="24"/>
        </w:rPr>
        <w:t>çerçeve</w:t>
      </w:r>
      <w:r>
        <w:rPr>
          <w:rFonts w:ascii="Times New Roman" w:hAnsi="Times New Roman"/>
          <w:color w:val="000000"/>
          <w:sz w:val="24"/>
          <w:szCs w:val="24"/>
        </w:rPr>
        <w:t>ye</w:t>
      </w:r>
      <w:r w:rsidRPr="00942409">
        <w:rPr>
          <w:rFonts w:ascii="Times New Roman" w:hAnsi="Times New Roman"/>
          <w:color w:val="000000"/>
          <w:sz w:val="24"/>
          <w:szCs w:val="24"/>
        </w:rPr>
        <w:t xml:space="preserve"> (bu örneğin amaçları açısından </w:t>
      </w:r>
      <w:r>
        <w:rPr>
          <w:rFonts w:ascii="Times New Roman" w:hAnsi="Times New Roman"/>
          <w:color w:val="000000"/>
          <w:sz w:val="24"/>
          <w:szCs w:val="24"/>
        </w:rPr>
        <w:t xml:space="preserve">bir </w:t>
      </w:r>
      <w:r w:rsidRPr="00942409">
        <w:rPr>
          <w:rFonts w:ascii="Times New Roman" w:hAnsi="Times New Roman"/>
          <w:color w:val="000000"/>
          <w:sz w:val="24"/>
          <w:szCs w:val="24"/>
        </w:rPr>
        <w:t>gerçeğe uygun sunum çerçevesi</w:t>
      </w:r>
      <w:r>
        <w:rPr>
          <w:rFonts w:ascii="Times New Roman" w:hAnsi="Times New Roman"/>
          <w:color w:val="000000"/>
          <w:sz w:val="24"/>
          <w:szCs w:val="24"/>
        </w:rPr>
        <w:t>ne</w:t>
      </w:r>
      <w:r w:rsidRPr="00942409">
        <w:rPr>
          <w:rFonts w:ascii="Times New Roman" w:hAnsi="Times New Roman"/>
          <w:color w:val="000000"/>
          <w:sz w:val="24"/>
          <w:szCs w:val="24"/>
        </w:rPr>
        <w:t>) uy</w:t>
      </w:r>
      <w:r>
        <w:rPr>
          <w:rFonts w:ascii="Times New Roman" w:hAnsi="Times New Roman"/>
          <w:color w:val="000000"/>
          <w:sz w:val="24"/>
          <w:szCs w:val="24"/>
        </w:rPr>
        <w:t>gun olarak</w:t>
      </w:r>
      <w:r w:rsidRPr="00942409">
        <w:rPr>
          <w:rFonts w:ascii="Times New Roman" w:hAnsi="Times New Roman"/>
          <w:color w:val="000000"/>
          <w:sz w:val="24"/>
          <w:szCs w:val="24"/>
        </w:rPr>
        <w:t xml:space="preserve"> hazırlanmış </w:t>
      </w:r>
      <w:r>
        <w:rPr>
          <w:rFonts w:ascii="Times New Roman" w:hAnsi="Times New Roman"/>
          <w:color w:val="000000"/>
          <w:sz w:val="24"/>
          <w:szCs w:val="24"/>
        </w:rPr>
        <w:t xml:space="preserve">olan </w:t>
      </w:r>
      <w:r w:rsidRPr="00942409">
        <w:rPr>
          <w:rFonts w:ascii="Times New Roman" w:hAnsi="Times New Roman"/>
          <w:color w:val="000000"/>
          <w:sz w:val="24"/>
          <w:szCs w:val="24"/>
        </w:rPr>
        <w:t>tek bir finansal tabloya ilişkin denetçi raporu.</w:t>
      </w:r>
    </w:p>
    <w:p w:rsidR="00285C13" w:rsidRPr="00942409" w:rsidRDefault="00285C13" w:rsidP="009E0269">
      <w:pPr>
        <w:pStyle w:val="ListParagraph"/>
        <w:numPr>
          <w:ilvl w:val="0"/>
          <w:numId w:val="13"/>
        </w:numPr>
        <w:autoSpaceDE w:val="0"/>
        <w:autoSpaceDN w:val="0"/>
        <w:adjustRightInd w:val="0"/>
        <w:spacing w:before="120" w:after="120" w:line="276" w:lineRule="auto"/>
        <w:ind w:right="142" w:hanging="720"/>
        <w:contextualSpacing w:val="0"/>
        <w:jc w:val="both"/>
        <w:rPr>
          <w:rFonts w:ascii="Times New Roman" w:hAnsi="Times New Roman"/>
          <w:sz w:val="24"/>
          <w:szCs w:val="24"/>
        </w:rPr>
      </w:pPr>
      <w:r w:rsidRPr="00942409">
        <w:rPr>
          <w:rFonts w:ascii="Times New Roman" w:hAnsi="Times New Roman"/>
          <w:sz w:val="24"/>
          <w:szCs w:val="24"/>
        </w:rPr>
        <w:t>Örnek</w:t>
      </w:r>
      <w:r>
        <w:rPr>
          <w:rFonts w:ascii="Times New Roman" w:hAnsi="Times New Roman"/>
          <w:sz w:val="24"/>
          <w:szCs w:val="24"/>
        </w:rPr>
        <w:t xml:space="preserve"> </w:t>
      </w:r>
      <w:r w:rsidRPr="00942409">
        <w:rPr>
          <w:rFonts w:ascii="Times New Roman" w:hAnsi="Times New Roman"/>
          <w:sz w:val="24"/>
          <w:szCs w:val="24"/>
        </w:rPr>
        <w:t>2:</w:t>
      </w:r>
      <w:r>
        <w:rPr>
          <w:rFonts w:ascii="Times New Roman" w:hAnsi="Times New Roman"/>
          <w:sz w:val="24"/>
          <w:szCs w:val="24"/>
        </w:rPr>
        <w:t xml:space="preserve"> </w:t>
      </w:r>
      <w:r w:rsidRPr="00942409">
        <w:rPr>
          <w:rFonts w:ascii="Times New Roman" w:hAnsi="Times New Roman"/>
          <w:sz w:val="24"/>
          <w:szCs w:val="24"/>
        </w:rPr>
        <w:t xml:space="preserve">Özel amaçlı </w:t>
      </w:r>
      <w:r>
        <w:rPr>
          <w:rFonts w:ascii="Times New Roman" w:hAnsi="Times New Roman"/>
          <w:sz w:val="24"/>
          <w:szCs w:val="24"/>
        </w:rPr>
        <w:t xml:space="preserve">bir </w:t>
      </w:r>
      <w:r w:rsidRPr="00942409">
        <w:rPr>
          <w:rFonts w:ascii="Times New Roman" w:hAnsi="Times New Roman"/>
          <w:sz w:val="24"/>
          <w:szCs w:val="24"/>
        </w:rPr>
        <w:t>çerçeve</w:t>
      </w:r>
      <w:r>
        <w:rPr>
          <w:rFonts w:ascii="Times New Roman" w:hAnsi="Times New Roman"/>
          <w:sz w:val="24"/>
          <w:szCs w:val="24"/>
        </w:rPr>
        <w:t>ye</w:t>
      </w:r>
      <w:r w:rsidRPr="00942409">
        <w:rPr>
          <w:rFonts w:ascii="Times New Roman" w:hAnsi="Times New Roman"/>
          <w:sz w:val="24"/>
          <w:szCs w:val="24"/>
        </w:rPr>
        <w:t xml:space="preserve"> (bu örneğin </w:t>
      </w:r>
      <w:r w:rsidRPr="00942409">
        <w:rPr>
          <w:rFonts w:ascii="Times New Roman" w:hAnsi="Times New Roman"/>
          <w:color w:val="000000"/>
          <w:sz w:val="24"/>
          <w:szCs w:val="24"/>
        </w:rPr>
        <w:t>amaçları açısından</w:t>
      </w:r>
      <w:r w:rsidRPr="00942409">
        <w:rPr>
          <w:rFonts w:ascii="Times New Roman" w:hAnsi="Times New Roman"/>
          <w:sz w:val="24"/>
          <w:szCs w:val="24"/>
        </w:rPr>
        <w:t xml:space="preserve"> </w:t>
      </w:r>
      <w:r>
        <w:rPr>
          <w:rFonts w:ascii="Times New Roman" w:hAnsi="Times New Roman"/>
          <w:sz w:val="24"/>
          <w:szCs w:val="24"/>
        </w:rPr>
        <w:t xml:space="preserve">bir </w:t>
      </w:r>
      <w:r w:rsidRPr="00942409">
        <w:rPr>
          <w:rFonts w:ascii="Times New Roman" w:hAnsi="Times New Roman"/>
          <w:sz w:val="24"/>
          <w:szCs w:val="24"/>
        </w:rPr>
        <w:t>gerçeğe uygun sunum çerçevesi</w:t>
      </w:r>
      <w:r>
        <w:rPr>
          <w:rFonts w:ascii="Times New Roman" w:hAnsi="Times New Roman"/>
          <w:sz w:val="24"/>
          <w:szCs w:val="24"/>
        </w:rPr>
        <w:t>ne</w:t>
      </w:r>
      <w:r w:rsidRPr="00942409">
        <w:rPr>
          <w:rFonts w:ascii="Times New Roman" w:hAnsi="Times New Roman"/>
          <w:sz w:val="24"/>
          <w:szCs w:val="24"/>
        </w:rPr>
        <w:t>) uy</w:t>
      </w:r>
      <w:r>
        <w:rPr>
          <w:rFonts w:ascii="Times New Roman" w:hAnsi="Times New Roman"/>
          <w:sz w:val="24"/>
          <w:szCs w:val="24"/>
        </w:rPr>
        <w:t>gun olarak</w:t>
      </w:r>
      <w:r w:rsidRPr="00942409">
        <w:rPr>
          <w:rFonts w:ascii="Times New Roman" w:hAnsi="Times New Roman"/>
          <w:sz w:val="24"/>
          <w:szCs w:val="24"/>
        </w:rPr>
        <w:t xml:space="preserve"> hazırlanmış </w:t>
      </w:r>
      <w:r>
        <w:rPr>
          <w:rFonts w:ascii="Times New Roman" w:hAnsi="Times New Roman"/>
          <w:sz w:val="24"/>
          <w:szCs w:val="24"/>
        </w:rPr>
        <w:t>olan t</w:t>
      </w:r>
      <w:r w:rsidRPr="00942409">
        <w:rPr>
          <w:rFonts w:ascii="Times New Roman" w:hAnsi="Times New Roman"/>
          <w:sz w:val="24"/>
          <w:szCs w:val="24"/>
        </w:rPr>
        <w:t>ek bir finansal tabloya ilişkin denetçi raporu.</w:t>
      </w:r>
    </w:p>
    <w:p w:rsidR="00285C13" w:rsidRPr="00942409" w:rsidRDefault="00285C13" w:rsidP="009E0269">
      <w:pPr>
        <w:pStyle w:val="ListParagraph"/>
        <w:numPr>
          <w:ilvl w:val="0"/>
          <w:numId w:val="13"/>
        </w:numPr>
        <w:autoSpaceDE w:val="0"/>
        <w:autoSpaceDN w:val="0"/>
        <w:adjustRightInd w:val="0"/>
        <w:spacing w:before="120" w:after="120" w:line="276" w:lineRule="auto"/>
        <w:ind w:right="142" w:hanging="720"/>
        <w:contextualSpacing w:val="0"/>
        <w:jc w:val="both"/>
        <w:rPr>
          <w:rFonts w:ascii="Times New Roman" w:hAnsi="Times New Roman"/>
          <w:color w:val="000000"/>
          <w:sz w:val="17"/>
          <w:szCs w:val="17"/>
        </w:rPr>
      </w:pPr>
      <w:r w:rsidRPr="00942409">
        <w:rPr>
          <w:rFonts w:ascii="Times New Roman" w:hAnsi="Times New Roman"/>
          <w:sz w:val="24"/>
          <w:szCs w:val="24"/>
        </w:rPr>
        <w:t>Örnek</w:t>
      </w:r>
      <w:r>
        <w:rPr>
          <w:rFonts w:ascii="Times New Roman" w:hAnsi="Times New Roman"/>
          <w:sz w:val="24"/>
          <w:szCs w:val="24"/>
        </w:rPr>
        <w:t xml:space="preserve"> </w:t>
      </w:r>
      <w:r w:rsidRPr="00942409">
        <w:rPr>
          <w:rFonts w:ascii="Times New Roman" w:hAnsi="Times New Roman"/>
          <w:sz w:val="24"/>
          <w:szCs w:val="24"/>
        </w:rPr>
        <w:t>3:</w:t>
      </w:r>
      <w:r>
        <w:rPr>
          <w:rFonts w:ascii="Times New Roman" w:hAnsi="Times New Roman"/>
          <w:sz w:val="24"/>
          <w:szCs w:val="24"/>
        </w:rPr>
        <w:t xml:space="preserve"> </w:t>
      </w:r>
      <w:r w:rsidRPr="00942409">
        <w:rPr>
          <w:rFonts w:ascii="Times New Roman" w:hAnsi="Times New Roman"/>
          <w:sz w:val="24"/>
          <w:szCs w:val="24"/>
        </w:rPr>
        <w:t xml:space="preserve">Özel amaçlı </w:t>
      </w:r>
      <w:r>
        <w:rPr>
          <w:rFonts w:ascii="Times New Roman" w:hAnsi="Times New Roman"/>
          <w:sz w:val="24"/>
          <w:szCs w:val="24"/>
        </w:rPr>
        <w:t xml:space="preserve">bir </w:t>
      </w:r>
      <w:r w:rsidRPr="00942409">
        <w:rPr>
          <w:rFonts w:ascii="Times New Roman" w:hAnsi="Times New Roman"/>
          <w:sz w:val="24"/>
          <w:szCs w:val="24"/>
        </w:rPr>
        <w:t>çerçeve</w:t>
      </w:r>
      <w:r>
        <w:rPr>
          <w:rFonts w:ascii="Times New Roman" w:hAnsi="Times New Roman"/>
          <w:sz w:val="24"/>
          <w:szCs w:val="24"/>
        </w:rPr>
        <w:t>ye</w:t>
      </w:r>
      <w:r w:rsidRPr="00942409">
        <w:rPr>
          <w:rFonts w:ascii="Times New Roman" w:hAnsi="Times New Roman"/>
          <w:sz w:val="24"/>
          <w:szCs w:val="24"/>
        </w:rPr>
        <w:t xml:space="preserve"> (bu örneğin </w:t>
      </w:r>
      <w:r w:rsidRPr="00942409">
        <w:rPr>
          <w:rFonts w:ascii="Times New Roman" w:hAnsi="Times New Roman"/>
          <w:color w:val="000000"/>
          <w:sz w:val="24"/>
          <w:szCs w:val="24"/>
        </w:rPr>
        <w:t>amaçları açısından</w:t>
      </w:r>
      <w:r w:rsidRPr="00942409">
        <w:rPr>
          <w:rFonts w:ascii="Times New Roman" w:hAnsi="Times New Roman"/>
          <w:sz w:val="24"/>
          <w:szCs w:val="24"/>
        </w:rPr>
        <w:t xml:space="preserve"> </w:t>
      </w:r>
      <w:r>
        <w:rPr>
          <w:rFonts w:ascii="Times New Roman" w:hAnsi="Times New Roman"/>
          <w:sz w:val="24"/>
          <w:szCs w:val="24"/>
        </w:rPr>
        <w:t xml:space="preserve">bir </w:t>
      </w:r>
      <w:r w:rsidRPr="00942409">
        <w:rPr>
          <w:rFonts w:ascii="Times New Roman" w:hAnsi="Times New Roman"/>
          <w:sz w:val="24"/>
          <w:szCs w:val="24"/>
        </w:rPr>
        <w:t>uygunluk çerçevesi</w:t>
      </w:r>
      <w:r>
        <w:rPr>
          <w:rFonts w:ascii="Times New Roman" w:hAnsi="Times New Roman"/>
          <w:sz w:val="24"/>
          <w:szCs w:val="24"/>
        </w:rPr>
        <w:t>ne</w:t>
      </w:r>
      <w:r w:rsidRPr="00942409">
        <w:rPr>
          <w:rFonts w:ascii="Times New Roman" w:hAnsi="Times New Roman"/>
          <w:sz w:val="24"/>
          <w:szCs w:val="24"/>
        </w:rPr>
        <w:t>) uy</w:t>
      </w:r>
      <w:r>
        <w:rPr>
          <w:rFonts w:ascii="Times New Roman" w:hAnsi="Times New Roman"/>
          <w:sz w:val="24"/>
          <w:szCs w:val="24"/>
        </w:rPr>
        <w:t>gun olarak</w:t>
      </w:r>
      <w:r w:rsidRPr="00942409">
        <w:rPr>
          <w:rFonts w:ascii="Times New Roman" w:hAnsi="Times New Roman"/>
          <w:sz w:val="24"/>
          <w:szCs w:val="24"/>
        </w:rPr>
        <w:t xml:space="preserve"> hazırlanmış </w:t>
      </w:r>
      <w:r>
        <w:rPr>
          <w:rFonts w:ascii="Times New Roman" w:hAnsi="Times New Roman"/>
          <w:sz w:val="24"/>
          <w:szCs w:val="24"/>
        </w:rPr>
        <w:t xml:space="preserve">olan </w:t>
      </w:r>
      <w:r w:rsidRPr="00942409">
        <w:rPr>
          <w:rFonts w:ascii="Times New Roman" w:hAnsi="Times New Roman"/>
          <w:sz w:val="24"/>
          <w:szCs w:val="24"/>
        </w:rPr>
        <w:t>finansal tablodaki belirli bir unsura, hesaba veya kaleme</w:t>
      </w:r>
      <w:r w:rsidRPr="00942409">
        <w:rPr>
          <w:rFonts w:ascii="Times New Roman" w:hAnsi="Times New Roman"/>
          <w:color w:val="000000"/>
          <w:sz w:val="24"/>
          <w:szCs w:val="24"/>
        </w:rPr>
        <w:t xml:space="preserve"> ilişkin denetçi raporu</w:t>
      </w:r>
      <w:r w:rsidRPr="00942409">
        <w:rPr>
          <w:rFonts w:ascii="Times New Roman" w:hAnsi="Times New Roman"/>
          <w:color w:val="000000"/>
          <w:sz w:val="17"/>
        </w:rPr>
        <w:t>.</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FFFFFF"/>
          <w:sz w:val="17"/>
          <w:szCs w:val="17"/>
        </w:rPr>
      </w:pPr>
      <w:r w:rsidRPr="00942409">
        <w:rPr>
          <w:rFonts w:ascii="Times New Roman" w:hAnsi="Times New Roman"/>
          <w:color w:val="FFFFFF"/>
          <w:sz w:val="17"/>
        </w:rPr>
        <w:t>DENETİM</w:t>
      </w:r>
    </w:p>
    <w:p w:rsidR="00285C13" w:rsidRDefault="00285C13" w:rsidP="009E0269">
      <w:pPr>
        <w:spacing w:before="120" w:after="120" w:line="276" w:lineRule="auto"/>
        <w:ind w:right="142"/>
        <w:jc w:val="both"/>
        <w:rPr>
          <w:rFonts w:ascii="Times New Roman" w:hAnsi="Times New Roman"/>
        </w:rPr>
        <w:sectPr w:rsidR="00285C13" w:rsidSect="00197D1A">
          <w:headerReference w:type="default" r:id="rId9"/>
          <w:footerReference w:type="default" r:id="rId10"/>
          <w:footnotePr>
            <w:numRestart w:val="eachSect"/>
          </w:footnotePr>
          <w:pgSz w:w="11906" w:h="16838"/>
          <w:pgMar w:top="1417" w:right="1274" w:bottom="1417" w:left="1417" w:header="708" w:footer="708" w:gutter="0"/>
          <w:cols w:space="708"/>
          <w:rtlGutter/>
          <w:docGrid w:linePitch="360"/>
        </w:sectPr>
      </w:pPr>
      <w:r w:rsidRPr="00942409">
        <w:rPr>
          <w:rFonts w:ascii="Times New Roman" w:hAnsi="Times New Roman"/>
        </w:rPr>
        <w:br w:type="page"/>
      </w:r>
    </w:p>
    <w:p w:rsidR="00285C13" w:rsidRPr="00942409" w:rsidRDefault="00285C13" w:rsidP="009E0269">
      <w:pPr>
        <w:spacing w:before="120" w:after="120" w:line="276" w:lineRule="auto"/>
        <w:ind w:right="142"/>
        <w:jc w:val="both"/>
        <w:rPr>
          <w:rFonts w:ascii="Times New Roman" w:hAnsi="Times New Roman"/>
          <w:b/>
          <w:bCs/>
          <w:color w:val="000000"/>
          <w:sz w:val="17"/>
          <w:szCs w:val="17"/>
        </w:rPr>
      </w:pPr>
      <w:r>
        <w:rPr>
          <w:noProof/>
        </w:rPr>
        <w:pict>
          <v:shapetype id="_x0000_t202" coordsize="21600,21600" o:spt="202" path="m,l,21600r21600,l21600,xe">
            <v:stroke joinstyle="miter"/>
            <v:path gradientshapeok="t" o:connecttype="rect"/>
          </v:shapetype>
          <v:shape id="Metin Kutusu 5" o:spid="_x0000_s1027" type="#_x0000_t202" style="position:absolute;left:0;text-align:left;margin-left:-5.1pt;margin-top:.65pt;width:469.35pt;height:245.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" strokeweight=".5pt">
            <v:path arrowok="t"/>
            <v:textbox>
              <w:txbxContent>
                <w:p w:rsidR="00285C13" w:rsidRPr="00A541D6" w:rsidRDefault="00285C13" w:rsidP="00B720C6">
                  <w:pPr>
                    <w:autoSpaceDE w:val="0"/>
                    <w:autoSpaceDN w:val="0"/>
                    <w:adjustRightInd w:val="0"/>
                    <w:spacing w:after="120" w:line="240" w:lineRule="atLeast"/>
                    <w:ind w:right="142"/>
                    <w:jc w:val="both"/>
                    <w:rPr>
                      <w:rFonts w:ascii="Times New Roman" w:hAnsi="Times New Roman"/>
                      <w:b/>
                      <w:bCs/>
                      <w:color w:val="000000"/>
                      <w:sz w:val="24"/>
                      <w:szCs w:val="24"/>
                      <w:u w:val="single"/>
                    </w:rPr>
                  </w:pPr>
                  <w:r>
                    <w:rPr>
                      <w:rFonts w:ascii="Times New Roman" w:hAnsi="Times New Roman"/>
                      <w:b/>
                      <w:color w:val="000000"/>
                      <w:sz w:val="24"/>
                      <w:szCs w:val="24"/>
                      <w:u w:val="single"/>
                    </w:rPr>
                    <w:t xml:space="preserve">Örnek </w:t>
                  </w:r>
                  <w:r w:rsidRPr="00A541D6">
                    <w:rPr>
                      <w:rFonts w:ascii="Times New Roman" w:hAnsi="Times New Roman"/>
                      <w:b/>
                      <w:color w:val="000000"/>
                      <w:sz w:val="24"/>
                      <w:szCs w:val="24"/>
                      <w:u w:val="single"/>
                    </w:rPr>
                    <w:t>1:</w:t>
                  </w:r>
                </w:p>
                <w:p w:rsidR="00285C13" w:rsidRDefault="00285C13" w:rsidP="004C5F13">
                  <w:pPr>
                    <w:widowControl w:val="0"/>
                    <w:autoSpaceDE w:val="0"/>
                    <w:autoSpaceDN w:val="0"/>
                    <w:adjustRightInd w:val="0"/>
                    <w:spacing w:before="120" w:after="120"/>
                    <w:ind w:left="40"/>
                    <w:jc w:val="both"/>
                    <w:rPr>
                      <w:rFonts w:ascii="Times New Roman" w:hAnsi="Times New Roman"/>
                      <w:b/>
                      <w:color w:val="000000"/>
                      <w:sz w:val="24"/>
                      <w:szCs w:val="24"/>
                    </w:rPr>
                  </w:pPr>
                  <w:r w:rsidRPr="00881291">
                    <w:rPr>
                      <w:rFonts w:ascii="Times New Roman" w:hAnsi="Times New Roman"/>
                      <w:b/>
                      <w:color w:val="000000"/>
                      <w:sz w:val="24"/>
                      <w:szCs w:val="24"/>
                    </w:rPr>
                    <w:t>Bu örnekte yer alan denetçi raporuyla ilgili durumlar aşağıda gösterilmiştir:</w:t>
                  </w:r>
                </w:p>
                <w:p w:rsidR="00285C13" w:rsidRPr="00A541D6" w:rsidRDefault="00285C13" w:rsidP="00B720C6">
                  <w:pPr>
                    <w:pStyle w:val="ListParagraph"/>
                    <w:numPr>
                      <w:ilvl w:val="0"/>
                      <w:numId w:val="10"/>
                    </w:numPr>
                    <w:autoSpaceDE w:val="0"/>
                    <w:autoSpaceDN w:val="0"/>
                    <w:adjustRightInd w:val="0"/>
                    <w:spacing w:after="120" w:line="240" w:lineRule="atLeast"/>
                    <w:ind w:right="142" w:hanging="720"/>
                    <w:contextualSpacing w:val="0"/>
                    <w:jc w:val="both"/>
                    <w:rPr>
                      <w:rFonts w:ascii="Times New Roman" w:hAnsi="Times New Roman"/>
                      <w:b/>
                      <w:color w:val="000000"/>
                      <w:sz w:val="24"/>
                      <w:szCs w:val="24"/>
                    </w:rPr>
                  </w:pPr>
                  <w:r>
                    <w:rPr>
                      <w:rFonts w:ascii="Times New Roman" w:hAnsi="Times New Roman"/>
                      <w:b/>
                      <w:color w:val="000000"/>
                      <w:sz w:val="24"/>
                      <w:szCs w:val="24"/>
                    </w:rPr>
                    <w:t xml:space="preserve">Finansal durum tablosunun </w:t>
                  </w:r>
                  <w:r w:rsidRPr="00A541D6">
                    <w:rPr>
                      <w:rFonts w:ascii="Times New Roman" w:hAnsi="Times New Roman"/>
                      <w:b/>
                      <w:sz w:val="24"/>
                      <w:szCs w:val="24"/>
                    </w:rPr>
                    <w:t>(</w:t>
                  </w:r>
                  <w:r>
                    <w:rPr>
                      <w:rFonts w:ascii="Times New Roman" w:hAnsi="Times New Roman"/>
                      <w:b/>
                      <w:sz w:val="24"/>
                      <w:szCs w:val="24"/>
                    </w:rPr>
                    <w:t xml:space="preserve">bir başka ifadeyle, </w:t>
                  </w:r>
                  <w:r w:rsidRPr="00A541D6">
                    <w:rPr>
                      <w:rFonts w:ascii="Times New Roman" w:hAnsi="Times New Roman"/>
                      <w:b/>
                      <w:sz w:val="24"/>
                      <w:szCs w:val="24"/>
                    </w:rPr>
                    <w:t>tek bir finansal tablonun) denetimi</w:t>
                  </w:r>
                  <w:r>
                    <w:rPr>
                      <w:rFonts w:ascii="Times New Roman" w:hAnsi="Times New Roman"/>
                      <w:b/>
                      <w:sz w:val="24"/>
                      <w:szCs w:val="24"/>
                    </w:rPr>
                    <w:t xml:space="preserve"> yürütülmüştür.</w:t>
                  </w:r>
                </w:p>
                <w:p w:rsidR="00285C13" w:rsidRPr="00A541D6" w:rsidRDefault="00285C13" w:rsidP="00B720C6">
                  <w:pPr>
                    <w:pStyle w:val="ListParagraph"/>
                    <w:numPr>
                      <w:ilvl w:val="0"/>
                      <w:numId w:val="10"/>
                    </w:numPr>
                    <w:autoSpaceDE w:val="0"/>
                    <w:autoSpaceDN w:val="0"/>
                    <w:adjustRightInd w:val="0"/>
                    <w:spacing w:after="120" w:line="240" w:lineRule="atLeast"/>
                    <w:ind w:right="142" w:hanging="720"/>
                    <w:contextualSpacing w:val="0"/>
                    <w:jc w:val="both"/>
                    <w:rPr>
                      <w:rFonts w:ascii="Times New Roman" w:hAnsi="Times New Roman"/>
                      <w:b/>
                      <w:color w:val="000000"/>
                      <w:sz w:val="24"/>
                      <w:szCs w:val="24"/>
                    </w:rPr>
                  </w:pPr>
                  <w:r>
                    <w:rPr>
                      <w:rFonts w:ascii="Times New Roman" w:hAnsi="Times New Roman"/>
                      <w:b/>
                      <w:sz w:val="24"/>
                      <w:szCs w:val="24"/>
                    </w:rPr>
                    <w:t>Finansal durum tablosu,</w:t>
                  </w:r>
                  <w:r w:rsidRPr="00A541D6">
                    <w:rPr>
                      <w:rFonts w:ascii="Times New Roman" w:hAnsi="Times New Roman"/>
                      <w:b/>
                      <w:sz w:val="24"/>
                      <w:szCs w:val="24"/>
                    </w:rPr>
                    <w:t xml:space="preserve"> işletme yönetimi tarafından</w:t>
                  </w:r>
                  <w:r>
                    <w:rPr>
                      <w:rFonts w:ascii="Times New Roman" w:hAnsi="Times New Roman"/>
                      <w:b/>
                      <w:sz w:val="24"/>
                      <w:szCs w:val="24"/>
                    </w:rPr>
                    <w:t>,</w:t>
                  </w:r>
                  <w:r w:rsidRPr="00A541D6">
                    <w:rPr>
                      <w:rFonts w:ascii="Times New Roman" w:hAnsi="Times New Roman"/>
                      <w:b/>
                      <w:sz w:val="24"/>
                      <w:szCs w:val="24"/>
                    </w:rPr>
                    <w:t xml:space="preserve"> X</w:t>
                  </w:r>
                  <w:r>
                    <w:rPr>
                      <w:rFonts w:ascii="Times New Roman" w:hAnsi="Times New Roman"/>
                      <w:b/>
                      <w:sz w:val="24"/>
                      <w:szCs w:val="24"/>
                    </w:rPr>
                    <w:t>YZ</w:t>
                  </w:r>
                  <w:r w:rsidRPr="00A541D6">
                    <w:rPr>
                      <w:rFonts w:ascii="Times New Roman" w:hAnsi="Times New Roman"/>
                      <w:b/>
                      <w:sz w:val="24"/>
                      <w:szCs w:val="24"/>
                    </w:rPr>
                    <w:t xml:space="preserve"> </w:t>
                  </w:r>
                  <w:r>
                    <w:rPr>
                      <w:rFonts w:ascii="Times New Roman" w:hAnsi="Times New Roman"/>
                      <w:b/>
                      <w:sz w:val="24"/>
                      <w:szCs w:val="24"/>
                    </w:rPr>
                    <w:t>f</w:t>
                  </w:r>
                  <w:r w:rsidRPr="00A541D6">
                    <w:rPr>
                      <w:rFonts w:ascii="Times New Roman" w:hAnsi="Times New Roman"/>
                      <w:b/>
                      <w:sz w:val="24"/>
                      <w:szCs w:val="24"/>
                    </w:rPr>
                    <w:t xml:space="preserve">inansal </w:t>
                  </w:r>
                  <w:r>
                    <w:rPr>
                      <w:rFonts w:ascii="Times New Roman" w:hAnsi="Times New Roman"/>
                      <w:b/>
                      <w:sz w:val="24"/>
                      <w:szCs w:val="24"/>
                    </w:rPr>
                    <w:t>r</w:t>
                  </w:r>
                  <w:r w:rsidRPr="00A541D6">
                    <w:rPr>
                      <w:rFonts w:ascii="Times New Roman" w:hAnsi="Times New Roman"/>
                      <w:b/>
                      <w:sz w:val="24"/>
                      <w:szCs w:val="24"/>
                    </w:rPr>
                    <w:t xml:space="preserve">aporlama </w:t>
                  </w:r>
                  <w:r>
                    <w:rPr>
                      <w:rFonts w:ascii="Times New Roman" w:hAnsi="Times New Roman"/>
                      <w:b/>
                      <w:sz w:val="24"/>
                      <w:szCs w:val="24"/>
                    </w:rPr>
                    <w:t>ç</w:t>
                  </w:r>
                  <w:r w:rsidRPr="00A541D6">
                    <w:rPr>
                      <w:rFonts w:ascii="Times New Roman" w:hAnsi="Times New Roman"/>
                      <w:b/>
                      <w:sz w:val="24"/>
                      <w:szCs w:val="24"/>
                    </w:rPr>
                    <w:t>erçeve</w:t>
                  </w:r>
                  <w:r>
                    <w:rPr>
                      <w:rFonts w:ascii="Times New Roman" w:hAnsi="Times New Roman"/>
                      <w:b/>
                      <w:sz w:val="24"/>
                      <w:szCs w:val="24"/>
                    </w:rPr>
                    <w:t>sinde yer alan</w:t>
                  </w:r>
                  <w:r w:rsidRPr="00A541D6">
                    <w:rPr>
                      <w:rFonts w:ascii="Times New Roman" w:hAnsi="Times New Roman"/>
                      <w:b/>
                      <w:sz w:val="24"/>
                      <w:szCs w:val="24"/>
                    </w:rPr>
                    <w:t xml:space="preserve"> </w:t>
                  </w:r>
                  <w:r>
                    <w:rPr>
                      <w:rFonts w:ascii="Times New Roman" w:hAnsi="Times New Roman"/>
                      <w:b/>
                      <w:sz w:val="24"/>
                      <w:szCs w:val="24"/>
                    </w:rPr>
                    <w:t>finansal durum tablosunun</w:t>
                  </w:r>
                  <w:r w:rsidRPr="00A541D6">
                    <w:rPr>
                      <w:rFonts w:ascii="Times New Roman" w:hAnsi="Times New Roman"/>
                      <w:b/>
                      <w:sz w:val="24"/>
                      <w:szCs w:val="24"/>
                    </w:rPr>
                    <w:t xml:space="preserve"> hazırlanmasına ilişkin hükümler</w:t>
                  </w:r>
                  <w:r>
                    <w:rPr>
                      <w:rFonts w:ascii="Times New Roman" w:hAnsi="Times New Roman"/>
                      <w:b/>
                      <w:sz w:val="24"/>
                      <w:szCs w:val="24"/>
                    </w:rPr>
                    <w:t xml:space="preserve">e uygun olarak </w:t>
                  </w:r>
                  <w:r w:rsidRPr="00A541D6">
                    <w:rPr>
                      <w:rFonts w:ascii="Times New Roman" w:hAnsi="Times New Roman"/>
                      <w:b/>
                      <w:sz w:val="24"/>
                      <w:szCs w:val="24"/>
                    </w:rPr>
                    <w:t>hazırlanmıştır.</w:t>
                  </w:r>
                </w:p>
                <w:p w:rsidR="00285C13" w:rsidRPr="00A541D6" w:rsidRDefault="00285C13" w:rsidP="00B720C6">
                  <w:pPr>
                    <w:pStyle w:val="ListParagraph"/>
                    <w:numPr>
                      <w:ilvl w:val="0"/>
                      <w:numId w:val="10"/>
                    </w:numPr>
                    <w:autoSpaceDE w:val="0"/>
                    <w:autoSpaceDN w:val="0"/>
                    <w:adjustRightInd w:val="0"/>
                    <w:spacing w:after="120" w:line="240" w:lineRule="atLeast"/>
                    <w:ind w:right="142" w:hanging="720"/>
                    <w:contextualSpacing w:val="0"/>
                    <w:jc w:val="both"/>
                    <w:rPr>
                      <w:rFonts w:ascii="Times New Roman" w:hAnsi="Times New Roman"/>
                      <w:b/>
                      <w:sz w:val="24"/>
                      <w:szCs w:val="24"/>
                    </w:rPr>
                  </w:pPr>
                  <w:r w:rsidRPr="00370A59">
                    <w:rPr>
                      <w:rFonts w:ascii="Times New Roman" w:hAnsi="Times New Roman"/>
                      <w:b/>
                      <w:sz w:val="24"/>
                      <w:szCs w:val="24"/>
                    </w:rPr>
                    <w:t>Geçerli f</w:t>
                  </w:r>
                  <w:r w:rsidRPr="00A541D6">
                    <w:rPr>
                      <w:rFonts w:ascii="Times New Roman" w:hAnsi="Times New Roman"/>
                      <w:b/>
                      <w:sz w:val="24"/>
                      <w:szCs w:val="24"/>
                    </w:rPr>
                    <w:t>inansal raporlama çerçevesi, geniş bir kullanıcı kitlesinin</w:t>
                  </w:r>
                  <w:r>
                    <w:rPr>
                      <w:rFonts w:ascii="Times New Roman" w:hAnsi="Times New Roman"/>
                      <w:b/>
                      <w:sz w:val="24"/>
                      <w:szCs w:val="24"/>
                    </w:rPr>
                    <w:t xml:space="preserve"> ortak</w:t>
                  </w:r>
                  <w:r w:rsidRPr="00A541D6">
                    <w:rPr>
                      <w:rFonts w:ascii="Times New Roman" w:hAnsi="Times New Roman"/>
                      <w:b/>
                      <w:sz w:val="24"/>
                      <w:szCs w:val="24"/>
                    </w:rPr>
                    <w:t xml:space="preserve"> finansal bilgi ihtiyaçlarını karşılamaya yönelik tasarlanmış </w:t>
                  </w:r>
                  <w:r>
                    <w:rPr>
                      <w:rFonts w:ascii="Times New Roman" w:hAnsi="Times New Roman"/>
                      <w:b/>
                      <w:sz w:val="24"/>
                      <w:szCs w:val="24"/>
                    </w:rPr>
                    <w:t>bir</w:t>
                  </w:r>
                  <w:r w:rsidRPr="00A541D6">
                    <w:rPr>
                      <w:rFonts w:ascii="Times New Roman" w:hAnsi="Times New Roman"/>
                      <w:b/>
                      <w:sz w:val="24"/>
                      <w:szCs w:val="24"/>
                    </w:rPr>
                    <w:t xml:space="preserve"> gerçeğe uygun sunum çerçevesidir.</w:t>
                  </w:r>
                </w:p>
                <w:p w:rsidR="00285C13" w:rsidRPr="00A541D6" w:rsidRDefault="00285C13" w:rsidP="00B720C6">
                  <w:pPr>
                    <w:pStyle w:val="ListParagraph"/>
                    <w:numPr>
                      <w:ilvl w:val="0"/>
                      <w:numId w:val="10"/>
                    </w:numPr>
                    <w:autoSpaceDE w:val="0"/>
                    <w:autoSpaceDN w:val="0"/>
                    <w:adjustRightInd w:val="0"/>
                    <w:spacing w:after="120" w:line="240" w:lineRule="atLeast"/>
                    <w:ind w:right="142" w:hanging="720"/>
                    <w:contextualSpacing w:val="0"/>
                    <w:jc w:val="both"/>
                    <w:rPr>
                      <w:rFonts w:ascii="Times New Roman" w:hAnsi="Times New Roman"/>
                      <w:b/>
                      <w:sz w:val="24"/>
                      <w:szCs w:val="24"/>
                    </w:rPr>
                  </w:pPr>
                  <w:r>
                    <w:rPr>
                      <w:rFonts w:ascii="Times New Roman" w:hAnsi="Times New Roman"/>
                      <w:b/>
                      <w:sz w:val="24"/>
                      <w:szCs w:val="24"/>
                    </w:rPr>
                    <w:t>D</w:t>
                  </w:r>
                  <w:r w:rsidRPr="00A541D6">
                    <w:rPr>
                      <w:rFonts w:ascii="Times New Roman" w:hAnsi="Times New Roman"/>
                      <w:b/>
                      <w:sz w:val="24"/>
                      <w:szCs w:val="24"/>
                    </w:rPr>
                    <w:t xml:space="preserve">enetim </w:t>
                  </w:r>
                  <w:r>
                    <w:rPr>
                      <w:rFonts w:ascii="Times New Roman" w:hAnsi="Times New Roman"/>
                      <w:b/>
                      <w:sz w:val="24"/>
                      <w:szCs w:val="24"/>
                    </w:rPr>
                    <w:t>sözleşmesinin şartları</w:t>
                  </w:r>
                  <w:r w:rsidRPr="00A541D6">
                    <w:rPr>
                      <w:rFonts w:ascii="Times New Roman" w:hAnsi="Times New Roman"/>
                      <w:b/>
                      <w:sz w:val="24"/>
                      <w:szCs w:val="24"/>
                    </w:rPr>
                    <w:t>, yönetimin finansal tablolara ilişkin BDS 210’da tanımlanan sorumluluğunu yansıtmaktadır.</w:t>
                  </w:r>
                </w:p>
                <w:p w:rsidR="00285C13" w:rsidRPr="00A541D6" w:rsidRDefault="00285C13" w:rsidP="00B720C6">
                  <w:pPr>
                    <w:pStyle w:val="ListParagraph"/>
                    <w:numPr>
                      <w:ilvl w:val="0"/>
                      <w:numId w:val="10"/>
                    </w:numPr>
                    <w:autoSpaceDE w:val="0"/>
                    <w:autoSpaceDN w:val="0"/>
                    <w:adjustRightInd w:val="0"/>
                    <w:spacing w:after="120" w:line="240" w:lineRule="atLeast"/>
                    <w:ind w:right="142" w:hanging="720"/>
                    <w:contextualSpacing w:val="0"/>
                    <w:jc w:val="both"/>
                    <w:rPr>
                      <w:rFonts w:ascii="Times New Roman" w:hAnsi="Times New Roman"/>
                      <w:b/>
                      <w:bCs/>
                      <w:color w:val="000000"/>
                      <w:sz w:val="24"/>
                      <w:szCs w:val="24"/>
                    </w:rPr>
                  </w:pPr>
                  <w:r w:rsidRPr="00A541D6">
                    <w:rPr>
                      <w:rFonts w:ascii="Times New Roman" w:hAnsi="Times New Roman"/>
                      <w:b/>
                      <w:sz w:val="24"/>
                      <w:szCs w:val="24"/>
                    </w:rPr>
                    <w:t>Denetçi</w:t>
                  </w:r>
                  <w:r>
                    <w:rPr>
                      <w:rFonts w:ascii="Times New Roman" w:hAnsi="Times New Roman"/>
                      <w:b/>
                      <w:sz w:val="24"/>
                      <w:szCs w:val="24"/>
                    </w:rPr>
                    <w:t>,</w:t>
                  </w:r>
                  <w:r w:rsidRPr="00A541D6">
                    <w:rPr>
                      <w:rFonts w:ascii="Times New Roman" w:hAnsi="Times New Roman"/>
                      <w:b/>
                      <w:sz w:val="24"/>
                      <w:szCs w:val="24"/>
                    </w:rPr>
                    <w:t xml:space="preserve"> “tüm önemli yönleriyle gerçeğe uygun bir biçimde </w:t>
                  </w:r>
                  <w:r>
                    <w:rPr>
                      <w:rFonts w:ascii="Times New Roman" w:hAnsi="Times New Roman"/>
                      <w:b/>
                      <w:sz w:val="24"/>
                      <w:szCs w:val="24"/>
                    </w:rPr>
                    <w:t>sunmaktadır</w:t>
                  </w:r>
                  <w:r w:rsidRPr="00A541D6">
                    <w:rPr>
                      <w:rFonts w:ascii="Times New Roman" w:hAnsi="Times New Roman"/>
                      <w:b/>
                      <w:sz w:val="24"/>
                      <w:szCs w:val="24"/>
                    </w:rPr>
                    <w:t>” ifadesinin denetçi görüşünde kullanılmasının uygun olduğuna karar vermiştir.</w:t>
                  </w:r>
                </w:p>
                <w:p w:rsidR="00285C13" w:rsidRDefault="00285C13"/>
              </w:txbxContent>
            </v:textbox>
          </v:shape>
        </w:pic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17"/>
          <w:u w:val="single"/>
        </w:rPr>
      </w:pPr>
    </w:p>
    <w:p w:rsidR="00285C13"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p>
    <w:p w:rsidR="00285C13"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BAĞIMSIZ DENETÇİ RAPORU</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w:t>
      </w:r>
      <w:r>
        <w:rPr>
          <w:rFonts w:ascii="Times New Roman" w:hAnsi="Times New Roman"/>
          <w:color w:val="000000"/>
          <w:sz w:val="24"/>
          <w:szCs w:val="24"/>
        </w:rPr>
        <w:t>Uygun</w:t>
      </w:r>
      <w:r w:rsidRPr="00942409">
        <w:rPr>
          <w:rFonts w:ascii="Times New Roman" w:hAnsi="Times New Roman"/>
          <w:color w:val="000000"/>
          <w:sz w:val="24"/>
          <w:szCs w:val="24"/>
        </w:rPr>
        <w:t xml:space="preserve"> </w:t>
      </w:r>
      <w:r>
        <w:rPr>
          <w:rFonts w:ascii="Times New Roman" w:hAnsi="Times New Roman"/>
          <w:color w:val="000000"/>
          <w:sz w:val="24"/>
          <w:szCs w:val="24"/>
        </w:rPr>
        <w:t xml:space="preserve">Olan </w:t>
      </w:r>
      <w:r w:rsidRPr="00942409">
        <w:rPr>
          <w:rFonts w:ascii="Times New Roman" w:hAnsi="Times New Roman"/>
          <w:color w:val="000000"/>
          <w:sz w:val="24"/>
          <w:szCs w:val="24"/>
        </w:rPr>
        <w:t>Muhatap]</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ABC Şirketinin ilişikteki</w:t>
      </w:r>
      <w:r>
        <w:rPr>
          <w:rFonts w:ascii="Times New Roman" w:hAnsi="Times New Roman"/>
          <w:color w:val="000000"/>
          <w:sz w:val="24"/>
          <w:szCs w:val="24"/>
        </w:rPr>
        <w:t>,</w:t>
      </w:r>
      <w:r w:rsidRPr="00942409">
        <w:rPr>
          <w:rFonts w:ascii="Times New Roman" w:hAnsi="Times New Roman"/>
          <w:color w:val="000000"/>
          <w:sz w:val="24"/>
          <w:szCs w:val="24"/>
        </w:rPr>
        <w:t xml:space="preserve"> 31 Aralık 20X1 tarihli finansal durum tablosu </w:t>
      </w:r>
      <w:r>
        <w:rPr>
          <w:rFonts w:ascii="Times New Roman" w:hAnsi="Times New Roman"/>
          <w:color w:val="000000"/>
          <w:sz w:val="24"/>
          <w:szCs w:val="24"/>
        </w:rPr>
        <w:t>ile</w:t>
      </w:r>
      <w:r w:rsidRPr="00942409">
        <w:rPr>
          <w:rFonts w:ascii="Times New Roman" w:hAnsi="Times New Roman"/>
          <w:color w:val="000000"/>
          <w:sz w:val="24"/>
          <w:szCs w:val="24"/>
        </w:rPr>
        <w:t xml:space="preserve"> önemli muhasebe politikalarını özet</w:t>
      </w:r>
      <w:r w:rsidRPr="00031E4F">
        <w:rPr>
          <w:rFonts w:ascii="Times New Roman" w:hAnsi="Times New Roman"/>
          <w:color w:val="000000"/>
          <w:sz w:val="24"/>
          <w:szCs w:val="24"/>
        </w:rPr>
        <w:t>leyen dipnotlar ve diğer açıklayıcı notlarını (tamamı için “bu finansal tablo”) denetlemiş</w:t>
      </w:r>
      <w:r w:rsidRPr="00942409">
        <w:rPr>
          <w:rFonts w:ascii="Times New Roman" w:hAnsi="Times New Roman"/>
          <w:color w:val="000000"/>
          <w:sz w:val="24"/>
          <w:szCs w:val="24"/>
        </w:rPr>
        <w:t xml:space="preserve"> bulunuyoruz.</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color w:val="000000"/>
          <w:sz w:val="24"/>
          <w:szCs w:val="24"/>
        </w:rPr>
      </w:pPr>
      <w:r w:rsidRPr="00942409">
        <w:rPr>
          <w:rFonts w:ascii="Times New Roman" w:hAnsi="Times New Roman"/>
          <w:b/>
          <w:color w:val="000000"/>
          <w:sz w:val="24"/>
          <w:szCs w:val="24"/>
        </w:rPr>
        <w:t>Yönetimin</w:t>
      </w:r>
      <w:r w:rsidRPr="00942409">
        <w:rPr>
          <w:rStyle w:val="FootnoteReference"/>
          <w:rFonts w:ascii="Times New Roman" w:hAnsi="Times New Roman"/>
          <w:color w:val="000000"/>
          <w:sz w:val="24"/>
          <w:szCs w:val="24"/>
        </w:rPr>
        <w:footnoteReference w:id="24"/>
      </w:r>
      <w:r w:rsidRPr="00942409">
        <w:rPr>
          <w:rFonts w:ascii="Times New Roman" w:hAnsi="Times New Roman"/>
          <w:sz w:val="24"/>
          <w:szCs w:val="24"/>
          <w:vertAlign w:val="superscript"/>
        </w:rPr>
        <w:t xml:space="preserve">  </w:t>
      </w:r>
      <w:r w:rsidRPr="00942409">
        <w:rPr>
          <w:rFonts w:ascii="Times New Roman" w:hAnsi="Times New Roman"/>
          <w:b/>
          <w:sz w:val="24"/>
          <w:szCs w:val="24"/>
        </w:rPr>
        <w:t>Finansal Tabloya İlişkin Sorumluluğu</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 xml:space="preserve">Şirket yönetimi; </w:t>
      </w:r>
      <w:r>
        <w:rPr>
          <w:rFonts w:ascii="Times New Roman" w:hAnsi="Times New Roman"/>
          <w:color w:val="000000"/>
          <w:sz w:val="24"/>
          <w:szCs w:val="24"/>
        </w:rPr>
        <w:t>söz konusu</w:t>
      </w:r>
      <w:r w:rsidRPr="00942409">
        <w:rPr>
          <w:rFonts w:ascii="Times New Roman" w:hAnsi="Times New Roman"/>
          <w:color w:val="000000"/>
          <w:sz w:val="24"/>
          <w:szCs w:val="24"/>
        </w:rPr>
        <w:t xml:space="preserve"> finansal tablonun X</w:t>
      </w:r>
      <w:r>
        <w:rPr>
          <w:rFonts w:ascii="Times New Roman" w:hAnsi="Times New Roman"/>
          <w:color w:val="000000"/>
          <w:sz w:val="24"/>
          <w:szCs w:val="24"/>
        </w:rPr>
        <w:t>YZ</w:t>
      </w:r>
      <w:r w:rsidRPr="00942409">
        <w:rPr>
          <w:rFonts w:ascii="Times New Roman" w:hAnsi="Times New Roman"/>
          <w:color w:val="000000"/>
          <w:sz w:val="24"/>
          <w:szCs w:val="24"/>
        </w:rPr>
        <w:t xml:space="preserve"> finansal raporlama çerçevesi hükümlerine uygun olarak hazırlanmasından, gerçeğe uygun </w:t>
      </w:r>
      <w:r>
        <w:rPr>
          <w:rFonts w:ascii="Times New Roman" w:hAnsi="Times New Roman"/>
          <w:color w:val="000000"/>
          <w:sz w:val="24"/>
          <w:szCs w:val="24"/>
        </w:rPr>
        <w:t xml:space="preserve">bir biçimde </w:t>
      </w:r>
      <w:r w:rsidRPr="00942409">
        <w:rPr>
          <w:rFonts w:ascii="Times New Roman" w:hAnsi="Times New Roman"/>
          <w:color w:val="000000"/>
          <w:sz w:val="24"/>
          <w:szCs w:val="24"/>
        </w:rPr>
        <w:t xml:space="preserve">sunumundan ve hata veya hile kaynaklı önemli yanlışlık içermeyen finansal tablonun hazırlanması için gerekli gördüğü iç kontrolden sorumludur. </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b/>
          <w:color w:val="000000"/>
          <w:sz w:val="24"/>
          <w:szCs w:val="24"/>
        </w:rPr>
        <w:t>Bağımsız Denetçinin Sorumluluğu</w:t>
      </w:r>
    </w:p>
    <w:p w:rsidR="00285C13" w:rsidRPr="00942409" w:rsidRDefault="00285C13" w:rsidP="009E0269">
      <w:pPr>
        <w:autoSpaceDE w:val="0"/>
        <w:autoSpaceDN w:val="0"/>
        <w:adjustRightInd w:val="0"/>
        <w:spacing w:before="120" w:after="120" w:line="276" w:lineRule="auto"/>
        <w:jc w:val="both"/>
        <w:rPr>
          <w:rFonts w:ascii="Times New Roman" w:hAnsi="Times New Roman"/>
          <w:color w:val="000000"/>
          <w:sz w:val="24"/>
          <w:szCs w:val="24"/>
        </w:rPr>
      </w:pPr>
      <w:r w:rsidRPr="009A3491">
        <w:rPr>
          <w:rFonts w:ascii="Times New Roman" w:hAnsi="Times New Roman"/>
          <w:color w:val="000000"/>
          <w:sz w:val="24"/>
        </w:rPr>
        <w:t>Sorumluluğumuz</w:t>
      </w:r>
      <w:r>
        <w:rPr>
          <w:rFonts w:ascii="Times New Roman" w:hAnsi="Times New Roman"/>
          <w:color w:val="000000"/>
          <w:sz w:val="24"/>
        </w:rPr>
        <w:t>,</w:t>
      </w:r>
      <w:r w:rsidRPr="009A3491">
        <w:rPr>
          <w:rFonts w:ascii="Times New Roman" w:hAnsi="Times New Roman"/>
          <w:color w:val="000000"/>
          <w:sz w:val="24"/>
        </w:rPr>
        <w:t xml:space="preserve"> yaptığımız bağımsız denetime dayanarak</w:t>
      </w:r>
      <w:r>
        <w:rPr>
          <w:rFonts w:ascii="Times New Roman" w:hAnsi="Times New Roman"/>
          <w:color w:val="000000"/>
          <w:sz w:val="24"/>
        </w:rPr>
        <w:t>,</w:t>
      </w:r>
      <w:r w:rsidRPr="009A3491">
        <w:rPr>
          <w:rFonts w:ascii="Times New Roman" w:hAnsi="Times New Roman"/>
          <w:color w:val="000000"/>
          <w:sz w:val="24"/>
        </w:rPr>
        <w:t xml:space="preserve"> bu finansal tablo hakkında görüş vermektir. </w:t>
      </w:r>
      <w:r w:rsidRPr="00F965DA">
        <w:rPr>
          <w:rFonts w:ascii="Times New Roman" w:hAnsi="Times New Roman"/>
          <w:color w:val="000000"/>
          <w:sz w:val="24"/>
        </w:rPr>
        <w:t xml:space="preserve">Yaptığımız </w:t>
      </w:r>
      <w:r w:rsidRPr="00B80D52">
        <w:rPr>
          <w:rFonts w:ascii="Times New Roman" w:hAnsi="Times New Roman"/>
          <w:color w:val="000000"/>
          <w:sz w:val="24"/>
        </w:rPr>
        <w:t xml:space="preserve">bağımsız </w:t>
      </w:r>
      <w:r w:rsidRPr="00374FBB">
        <w:rPr>
          <w:rFonts w:ascii="Times New Roman" w:hAnsi="Times New Roman"/>
          <w:color w:val="000000"/>
          <w:sz w:val="24"/>
        </w:rPr>
        <w:t xml:space="preserve">denetim, Kamu Gözetimi, Muhasebe ve Denetim Standartları Kurumu tarafından yayımlanan </w:t>
      </w:r>
      <w:r w:rsidRPr="00394E75">
        <w:rPr>
          <w:rFonts w:ascii="Times New Roman" w:hAnsi="Times New Roman"/>
          <w:color w:val="000000"/>
          <w:sz w:val="24"/>
        </w:rPr>
        <w:t xml:space="preserve">Türkiye Denetim Standartlarının bir parçası olan </w:t>
      </w:r>
      <w:r w:rsidRPr="00492C5F">
        <w:rPr>
          <w:rFonts w:ascii="Times New Roman" w:hAnsi="Times New Roman"/>
          <w:color w:val="000000"/>
          <w:sz w:val="24"/>
        </w:rPr>
        <w:t xml:space="preserve">Bağımsız Denetim Standartlarına uygun olarak yürütülmüştür. Bu standartlar, etik </w:t>
      </w:r>
      <w:r w:rsidRPr="00EA10A0">
        <w:rPr>
          <w:rFonts w:ascii="Times New Roman" w:hAnsi="Times New Roman"/>
          <w:color w:val="000000"/>
          <w:sz w:val="24"/>
        </w:rPr>
        <w:t>hü</w:t>
      </w:r>
      <w:r w:rsidRPr="00B05C25">
        <w:rPr>
          <w:rFonts w:ascii="Times New Roman" w:hAnsi="Times New Roman"/>
          <w:color w:val="000000"/>
          <w:sz w:val="24"/>
        </w:rPr>
        <w:t xml:space="preserve">kümlere </w:t>
      </w:r>
      <w:r w:rsidRPr="00550CD8">
        <w:rPr>
          <w:rFonts w:ascii="Times New Roman" w:hAnsi="Times New Roman"/>
          <w:color w:val="000000"/>
          <w:sz w:val="24"/>
        </w:rPr>
        <w:t>uygunluk sağlanmasını ve bağımsız denetimin, bu finansal tablonun önemli yanlışlık içerip içermediğine dair makul güvence elde etmek üzere planlanarak yürütülmesini gerektirmektedir.</w:t>
      </w:r>
    </w:p>
    <w:p w:rsidR="00285C13" w:rsidRPr="00550CD8" w:rsidRDefault="00285C13" w:rsidP="009E0269">
      <w:pPr>
        <w:autoSpaceDE w:val="0"/>
        <w:autoSpaceDN w:val="0"/>
        <w:adjustRightInd w:val="0"/>
        <w:spacing w:before="120" w:after="120" w:line="276" w:lineRule="auto"/>
        <w:jc w:val="both"/>
        <w:rPr>
          <w:rFonts w:ascii="Times New Roman" w:hAnsi="Times New Roman"/>
          <w:color w:val="000000"/>
          <w:sz w:val="24"/>
        </w:rPr>
      </w:pPr>
      <w:r w:rsidRPr="009A3491">
        <w:rPr>
          <w:rFonts w:ascii="Times New Roman" w:hAnsi="Times New Roman"/>
          <w:color w:val="000000"/>
          <w:sz w:val="24"/>
        </w:rPr>
        <w:t xml:space="preserve">Bağımsız denetim, </w:t>
      </w:r>
      <w:r w:rsidRPr="00F965DA">
        <w:rPr>
          <w:rFonts w:ascii="Times New Roman" w:hAnsi="Times New Roman"/>
          <w:color w:val="000000"/>
          <w:sz w:val="24"/>
        </w:rPr>
        <w:t xml:space="preserve">bu </w:t>
      </w:r>
      <w:r w:rsidRPr="00B80D52">
        <w:rPr>
          <w:rFonts w:ascii="Times New Roman" w:hAnsi="Times New Roman"/>
          <w:color w:val="000000"/>
          <w:sz w:val="24"/>
        </w:rPr>
        <w:t xml:space="preserve">finansal tablodaki tutar ve açıklamalar hakkında denetim kanıtı elde etmek amacıyla </w:t>
      </w:r>
      <w:r w:rsidRPr="00374FBB">
        <w:rPr>
          <w:rFonts w:ascii="Times New Roman" w:hAnsi="Times New Roman"/>
          <w:color w:val="000000"/>
          <w:sz w:val="24"/>
        </w:rPr>
        <w:t xml:space="preserve">denetim </w:t>
      </w:r>
      <w:r w:rsidRPr="00394E75">
        <w:rPr>
          <w:rFonts w:ascii="Times New Roman" w:hAnsi="Times New Roman"/>
          <w:color w:val="000000"/>
          <w:sz w:val="24"/>
        </w:rPr>
        <w:t>prosedürlerin</w:t>
      </w:r>
      <w:r w:rsidRPr="00492C5F">
        <w:rPr>
          <w:rFonts w:ascii="Times New Roman" w:hAnsi="Times New Roman"/>
          <w:color w:val="000000"/>
          <w:sz w:val="24"/>
        </w:rPr>
        <w:t>in</w:t>
      </w:r>
      <w:r w:rsidRPr="00EA10A0">
        <w:rPr>
          <w:rFonts w:ascii="Times New Roman" w:hAnsi="Times New Roman"/>
          <w:color w:val="000000"/>
          <w:sz w:val="24"/>
        </w:rPr>
        <w:t xml:space="preserve"> uygulanmasını </w:t>
      </w:r>
      <w:r w:rsidRPr="00B05C25">
        <w:rPr>
          <w:rFonts w:ascii="Times New Roman" w:hAnsi="Times New Roman"/>
          <w:color w:val="000000"/>
          <w:sz w:val="24"/>
        </w:rPr>
        <w:t>içerir</w:t>
      </w:r>
      <w:r w:rsidRPr="00550CD8">
        <w:rPr>
          <w:rFonts w:ascii="Times New Roman" w:hAnsi="Times New Roman"/>
          <w:color w:val="000000"/>
          <w:sz w:val="24"/>
        </w:rPr>
        <w:t>. Bu prosedürlerin seçimi, bu finansal tablodaki hata veya hile kaynaklı “önemli yanlışlık” risklerinin değerlendirilmesi de dâhil, bağımsız denetçinin mesleki muhakemesine dayanır. Bağımsız denetçi risk değerlendirmelerini yaparken, şartlara uygun denetim prosedürlerini tasarlamak amacıyla</w:t>
      </w:r>
      <w:r>
        <w:rPr>
          <w:rFonts w:ascii="Times New Roman" w:hAnsi="Times New Roman"/>
          <w:color w:val="000000"/>
          <w:sz w:val="24"/>
        </w:rPr>
        <w:t>,</w:t>
      </w:r>
      <w:r w:rsidRPr="00550CD8">
        <w:rPr>
          <w:rFonts w:ascii="Times New Roman" w:hAnsi="Times New Roman"/>
          <w:color w:val="000000"/>
          <w:sz w:val="24"/>
        </w:rPr>
        <w:t xml:space="preserve"> işletmeye ait bu finansal tablonun hazırlanması ve gerçeğe uygun sunumuyla ilgili iç kontrolü değerlendirir, ancak bu değerlendirme, işletmenin iç kontrolünün etkinliğine ilişkin bir görüş verme amacı taşımaz.</w:t>
      </w:r>
      <w:r w:rsidRPr="00550CD8">
        <w:rPr>
          <w:rStyle w:val="FootnoteReference"/>
          <w:rFonts w:ascii="Times New Roman" w:hAnsi="Times New Roman"/>
          <w:color w:val="000000"/>
          <w:sz w:val="24"/>
        </w:rPr>
        <w:t xml:space="preserve"> </w:t>
      </w:r>
      <w:r w:rsidRPr="00550CD8">
        <w:rPr>
          <w:rStyle w:val="FootnoteReference"/>
          <w:rFonts w:ascii="Times New Roman" w:hAnsi="Times New Roman"/>
          <w:color w:val="000000"/>
          <w:sz w:val="24"/>
        </w:rPr>
        <w:footnoteReference w:customMarkFollows="1" w:id="25"/>
        <w:t xml:space="preserve">2 </w:t>
      </w:r>
      <w:r w:rsidRPr="00550CD8">
        <w:rPr>
          <w:rFonts w:ascii="Times New Roman" w:hAnsi="Times New Roman"/>
          <w:color w:val="000000"/>
          <w:sz w:val="24"/>
        </w:rPr>
        <w:t xml:space="preserve">Bağımsız denetim, bir bütün olarak bu finansal tablonun sunumunun değerlendirilmesinin yanı sıra, işletme yönetimi tarafından kullanılan muhasebe politikalarının uygunluğunun ve -varsa- yapılan muhasebe tahminlerinin </w:t>
      </w:r>
      <w:r w:rsidRPr="00550CD8">
        <w:rPr>
          <w:rFonts w:ascii="Times New Roman" w:hAnsi="Times New Roman"/>
          <w:color w:val="000000"/>
          <w:sz w:val="24"/>
          <w:szCs w:val="24"/>
        </w:rPr>
        <w:t xml:space="preserve">makul olup olmadığının </w:t>
      </w:r>
      <w:r w:rsidRPr="00550CD8">
        <w:rPr>
          <w:rFonts w:ascii="Times New Roman" w:hAnsi="Times New Roman"/>
          <w:color w:val="000000"/>
          <w:sz w:val="24"/>
        </w:rPr>
        <w:t>değerlendirilmesini de içerir.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550CD8">
        <w:rPr>
          <w:rFonts w:ascii="Times New Roman" w:hAnsi="Times New Roman"/>
          <w:color w:val="000000"/>
          <w:sz w:val="24"/>
        </w:rPr>
        <w:t xml:space="preserve">Bağımsız denetim sırasında elde ettiğimiz </w:t>
      </w:r>
      <w:r>
        <w:rPr>
          <w:rFonts w:ascii="Times New Roman" w:hAnsi="Times New Roman"/>
          <w:color w:val="000000"/>
          <w:sz w:val="24"/>
        </w:rPr>
        <w:t xml:space="preserve">bağımsız </w:t>
      </w:r>
      <w:r w:rsidRPr="00550CD8">
        <w:rPr>
          <w:rFonts w:ascii="Times New Roman" w:hAnsi="Times New Roman"/>
          <w:color w:val="000000"/>
          <w:sz w:val="24"/>
        </w:rPr>
        <w:t>denetim kanıtlarının, görüşümüzün oluşturulması için yeterli ve uygun bir dayanak oluşturduğuna inanıyoruz.</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Görüş</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Görüşümüze göre bu finansal tablo, ABC Şirketinin 31 Aralık 20X1 tarihi itibarıyla finansal durumunu, X</w:t>
      </w:r>
      <w:r>
        <w:rPr>
          <w:rFonts w:ascii="Times New Roman" w:hAnsi="Times New Roman"/>
          <w:color w:val="000000"/>
          <w:sz w:val="24"/>
          <w:szCs w:val="24"/>
        </w:rPr>
        <w:t>YZ</w:t>
      </w:r>
      <w:r w:rsidRPr="00942409">
        <w:rPr>
          <w:rFonts w:ascii="Times New Roman" w:hAnsi="Times New Roman"/>
          <w:color w:val="000000"/>
          <w:sz w:val="24"/>
          <w:szCs w:val="24"/>
        </w:rPr>
        <w:t xml:space="preserve"> finansal raporlama çerçevesi hükümlerine uygun olarak tüm önemli yönleriyle gerçeğe uygun bir biçimde sunmaktadır.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[Bağımsız Denetçinin imzası]</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[Bağımsız Denetçi raporu tarihi]</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[Bağımsız Denetçinin adresi]</w:t>
      </w:r>
      <w:r w:rsidRPr="00942409">
        <w:rPr>
          <w:rFonts w:ascii="Times New Roman" w:hAnsi="Times New Roman"/>
          <w:sz w:val="24"/>
          <w:szCs w:val="24"/>
        </w:rPr>
        <w:br w:type="page"/>
      </w:r>
    </w:p>
    <w:p w:rsidR="00285C13" w:rsidRPr="00942409" w:rsidRDefault="00285C13" w:rsidP="009E0269">
      <w:pPr>
        <w:spacing w:before="120" w:after="120" w:line="276" w:lineRule="auto"/>
        <w:ind w:right="142"/>
        <w:jc w:val="both"/>
        <w:rPr>
          <w:rFonts w:ascii="Times New Roman" w:hAnsi="Times New Roman"/>
          <w:b/>
          <w:bCs/>
          <w:color w:val="000000"/>
          <w:sz w:val="24"/>
          <w:szCs w:val="24"/>
          <w:u w:val="single"/>
        </w:rPr>
      </w:pPr>
      <w:r>
        <w:rPr>
          <w:noProof/>
        </w:rPr>
        <w:pict>
          <v:rect id="_x0000_s1028" style="position:absolute;left:0;text-align:left;margin-left:-5.65pt;margin-top:-3.1pt;width:466.35pt;height:274.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" filled="f">
            <v:shadow on="t" color="black" opacity="24903f" origin=",.5" offset="0,.55556mm"/>
            <v:path arrowok="t"/>
          </v:rect>
        </w:pict>
      </w:r>
      <w:r w:rsidRPr="00942409">
        <w:rPr>
          <w:rFonts w:ascii="Times New Roman" w:hAnsi="Times New Roman"/>
          <w:b/>
          <w:color w:val="000000"/>
          <w:sz w:val="24"/>
          <w:szCs w:val="24"/>
          <w:u w:val="single"/>
        </w:rPr>
        <w:t>Örnek</w:t>
      </w:r>
      <w:r>
        <w:rPr>
          <w:rFonts w:ascii="Times New Roman" w:hAnsi="Times New Roman"/>
          <w:b/>
          <w:color w:val="000000"/>
          <w:sz w:val="24"/>
          <w:szCs w:val="24"/>
          <w:u w:val="single"/>
        </w:rPr>
        <w:t xml:space="preserve"> </w:t>
      </w:r>
      <w:r w:rsidRPr="00942409">
        <w:rPr>
          <w:rFonts w:ascii="Times New Roman" w:hAnsi="Times New Roman"/>
          <w:b/>
          <w:color w:val="000000"/>
          <w:sz w:val="24"/>
          <w:szCs w:val="24"/>
          <w:u w:val="single"/>
        </w:rPr>
        <w:t>2:</w:t>
      </w:r>
    </w:p>
    <w:p w:rsidR="00285C13" w:rsidRPr="00F965DA" w:rsidRDefault="00285C13" w:rsidP="009E0269">
      <w:pPr>
        <w:widowControl w:val="0"/>
        <w:autoSpaceDE w:val="0"/>
        <w:autoSpaceDN w:val="0"/>
        <w:adjustRightInd w:val="0"/>
        <w:spacing w:before="120" w:after="120" w:line="276" w:lineRule="auto"/>
        <w:ind w:left="40"/>
        <w:jc w:val="both"/>
        <w:rPr>
          <w:rFonts w:ascii="Times New Roman" w:hAnsi="Times New Roman"/>
          <w:b/>
          <w:color w:val="000000"/>
          <w:sz w:val="24"/>
          <w:szCs w:val="24"/>
        </w:rPr>
      </w:pPr>
      <w:r w:rsidRPr="009A3491">
        <w:rPr>
          <w:rFonts w:ascii="Times New Roman" w:hAnsi="Times New Roman"/>
          <w:b/>
          <w:color w:val="000000"/>
          <w:sz w:val="24"/>
          <w:szCs w:val="24"/>
        </w:rPr>
        <w:t>Bu örnekte yer alan denetçi raporuyla ilgili durumlar aşağıda gösterilmiştir:</w:t>
      </w:r>
    </w:p>
    <w:p w:rsidR="00285C13" w:rsidRPr="00942409" w:rsidRDefault="00285C13" w:rsidP="009E0269">
      <w:pPr>
        <w:numPr>
          <w:ilvl w:val="0"/>
          <w:numId w:val="12"/>
        </w:numPr>
        <w:autoSpaceDE w:val="0"/>
        <w:autoSpaceDN w:val="0"/>
        <w:adjustRightInd w:val="0"/>
        <w:spacing w:before="120" w:after="120" w:line="276" w:lineRule="auto"/>
        <w:ind w:right="142" w:hanging="720"/>
        <w:jc w:val="both"/>
        <w:rPr>
          <w:rFonts w:ascii="Times New Roman" w:hAnsi="Times New Roman"/>
          <w:b/>
          <w:color w:val="000000"/>
          <w:sz w:val="24"/>
          <w:szCs w:val="24"/>
        </w:rPr>
      </w:pPr>
      <w:r w:rsidRPr="00942409">
        <w:rPr>
          <w:rFonts w:ascii="Times New Roman" w:hAnsi="Times New Roman"/>
          <w:b/>
          <w:sz w:val="24"/>
          <w:szCs w:val="24"/>
        </w:rPr>
        <w:t>Nakit tahsil</w:t>
      </w:r>
      <w:r>
        <w:rPr>
          <w:rFonts w:ascii="Times New Roman" w:hAnsi="Times New Roman"/>
          <w:b/>
          <w:sz w:val="24"/>
          <w:szCs w:val="24"/>
        </w:rPr>
        <w:t>â</w:t>
      </w:r>
      <w:r w:rsidRPr="00942409">
        <w:rPr>
          <w:rFonts w:ascii="Times New Roman" w:hAnsi="Times New Roman"/>
          <w:b/>
          <w:sz w:val="24"/>
          <w:szCs w:val="24"/>
        </w:rPr>
        <w:t>t</w:t>
      </w:r>
      <w:r>
        <w:rPr>
          <w:rFonts w:ascii="Times New Roman" w:hAnsi="Times New Roman"/>
          <w:b/>
          <w:sz w:val="24"/>
          <w:szCs w:val="24"/>
        </w:rPr>
        <w:t>lar</w:t>
      </w:r>
      <w:r w:rsidRPr="00942409">
        <w:rPr>
          <w:rFonts w:ascii="Times New Roman" w:hAnsi="Times New Roman"/>
          <w:b/>
          <w:sz w:val="24"/>
          <w:szCs w:val="24"/>
        </w:rPr>
        <w:t xml:space="preserve"> ve </w:t>
      </w:r>
      <w:r>
        <w:rPr>
          <w:rFonts w:ascii="Times New Roman" w:hAnsi="Times New Roman"/>
          <w:b/>
          <w:sz w:val="24"/>
          <w:szCs w:val="24"/>
        </w:rPr>
        <w:t xml:space="preserve">nakit </w:t>
      </w:r>
      <w:r w:rsidRPr="00942409">
        <w:rPr>
          <w:rFonts w:ascii="Times New Roman" w:hAnsi="Times New Roman"/>
          <w:b/>
          <w:sz w:val="24"/>
          <w:szCs w:val="24"/>
        </w:rPr>
        <w:t>ödeme</w:t>
      </w:r>
      <w:r>
        <w:rPr>
          <w:rFonts w:ascii="Times New Roman" w:hAnsi="Times New Roman"/>
          <w:b/>
          <w:sz w:val="24"/>
          <w:szCs w:val="24"/>
        </w:rPr>
        <w:t>ler</w:t>
      </w:r>
      <w:r w:rsidRPr="00942409">
        <w:rPr>
          <w:rFonts w:ascii="Times New Roman" w:hAnsi="Times New Roman"/>
          <w:b/>
          <w:sz w:val="24"/>
          <w:szCs w:val="24"/>
        </w:rPr>
        <w:t xml:space="preserve"> tablosunun (</w:t>
      </w:r>
      <w:r>
        <w:rPr>
          <w:rFonts w:ascii="Times New Roman" w:hAnsi="Times New Roman"/>
          <w:b/>
          <w:sz w:val="24"/>
          <w:szCs w:val="24"/>
        </w:rPr>
        <w:t xml:space="preserve">bir başka ifadeyle, </w:t>
      </w:r>
      <w:r w:rsidRPr="00942409">
        <w:rPr>
          <w:rFonts w:ascii="Times New Roman" w:hAnsi="Times New Roman"/>
          <w:b/>
          <w:sz w:val="24"/>
          <w:szCs w:val="24"/>
        </w:rPr>
        <w:t>tek bir finansal tablonun)</w:t>
      </w:r>
      <w:r>
        <w:rPr>
          <w:rFonts w:ascii="Times New Roman" w:hAnsi="Times New Roman"/>
          <w:b/>
          <w:sz w:val="24"/>
          <w:szCs w:val="24"/>
        </w:rPr>
        <w:t xml:space="preserve"> </w:t>
      </w:r>
      <w:r w:rsidRPr="00942409">
        <w:rPr>
          <w:rFonts w:ascii="Times New Roman" w:hAnsi="Times New Roman"/>
          <w:b/>
          <w:sz w:val="24"/>
          <w:szCs w:val="24"/>
        </w:rPr>
        <w:t>denetimi</w:t>
      </w:r>
      <w:r>
        <w:rPr>
          <w:rFonts w:ascii="Times New Roman" w:hAnsi="Times New Roman"/>
          <w:b/>
          <w:sz w:val="24"/>
          <w:szCs w:val="24"/>
        </w:rPr>
        <w:t xml:space="preserve"> yürütülmüştür</w:t>
      </w:r>
      <w:r w:rsidRPr="00942409">
        <w:rPr>
          <w:rFonts w:ascii="Times New Roman" w:hAnsi="Times New Roman"/>
          <w:b/>
          <w:sz w:val="24"/>
          <w:szCs w:val="24"/>
        </w:rPr>
        <w:t>.</w:t>
      </w:r>
    </w:p>
    <w:p w:rsidR="00285C13" w:rsidRDefault="00285C13" w:rsidP="009E0269">
      <w:pPr>
        <w:numPr>
          <w:ilvl w:val="0"/>
          <w:numId w:val="12"/>
        </w:numPr>
        <w:autoSpaceDE w:val="0"/>
        <w:autoSpaceDN w:val="0"/>
        <w:adjustRightInd w:val="0"/>
        <w:spacing w:before="120" w:after="120" w:line="276" w:lineRule="auto"/>
        <w:ind w:right="142" w:hanging="720"/>
        <w:jc w:val="both"/>
        <w:rPr>
          <w:rFonts w:ascii="Times New Roman" w:hAnsi="Times New Roman"/>
          <w:b/>
          <w:sz w:val="24"/>
          <w:szCs w:val="24"/>
        </w:rPr>
      </w:pPr>
      <w:r w:rsidRPr="0060354D">
        <w:rPr>
          <w:rFonts w:ascii="Times New Roman" w:hAnsi="Times New Roman"/>
          <w:b/>
          <w:sz w:val="24"/>
          <w:szCs w:val="24"/>
        </w:rPr>
        <w:t>Söz konusu finansal tablo</w:t>
      </w:r>
      <w:r>
        <w:rPr>
          <w:rFonts w:ascii="Times New Roman" w:hAnsi="Times New Roman"/>
          <w:b/>
          <w:sz w:val="24"/>
          <w:szCs w:val="24"/>
        </w:rPr>
        <w:t>,</w:t>
      </w:r>
      <w:r w:rsidRPr="0060354D">
        <w:rPr>
          <w:rFonts w:ascii="Times New Roman" w:hAnsi="Times New Roman"/>
          <w:b/>
          <w:sz w:val="24"/>
          <w:szCs w:val="24"/>
        </w:rPr>
        <w:t xml:space="preserve"> </w:t>
      </w:r>
      <w:r w:rsidRPr="009E0269">
        <w:rPr>
          <w:rFonts w:ascii="Times New Roman" w:hAnsi="Times New Roman"/>
          <w:b/>
          <w:sz w:val="24"/>
          <w:szCs w:val="24"/>
        </w:rPr>
        <w:t>işletme yönetimi</w:t>
      </w:r>
      <w:r w:rsidRPr="0060354D">
        <w:rPr>
          <w:rFonts w:ascii="Times New Roman" w:hAnsi="Times New Roman"/>
          <w:b/>
          <w:sz w:val="24"/>
          <w:szCs w:val="24"/>
        </w:rPr>
        <w:t xml:space="preserve"> tarafından, bir kreditörün “nakit akışı bilgisine” ilişkin talebine yanıt vermek amacıyla, nakit tahsilât ve nakit ödeme esaslı muhasebe ilkelerine uygun olarak hazırlanmıştır. Finansal raporlama çerçevesinin seçimi yönetimin kararına bağlı değildir.</w:t>
      </w:r>
      <w:r>
        <w:rPr>
          <w:rFonts w:ascii="Times New Roman" w:hAnsi="Times New Roman"/>
          <w:b/>
          <w:sz w:val="24"/>
          <w:szCs w:val="24"/>
        </w:rPr>
        <w:t xml:space="preserve"> </w:t>
      </w:r>
    </w:p>
    <w:p w:rsidR="00285C13" w:rsidRPr="0060354D" w:rsidRDefault="00285C13" w:rsidP="009E0269">
      <w:pPr>
        <w:numPr>
          <w:ilvl w:val="0"/>
          <w:numId w:val="12"/>
        </w:numPr>
        <w:autoSpaceDE w:val="0"/>
        <w:autoSpaceDN w:val="0"/>
        <w:adjustRightInd w:val="0"/>
        <w:spacing w:before="120" w:after="120" w:line="276" w:lineRule="auto"/>
        <w:ind w:right="142" w:hanging="720"/>
        <w:jc w:val="both"/>
        <w:rPr>
          <w:rFonts w:ascii="Times New Roman" w:hAnsi="Times New Roman"/>
          <w:b/>
          <w:sz w:val="24"/>
          <w:szCs w:val="24"/>
        </w:rPr>
      </w:pPr>
      <w:r w:rsidRPr="0060354D">
        <w:rPr>
          <w:rFonts w:ascii="Times New Roman" w:hAnsi="Times New Roman"/>
          <w:b/>
          <w:sz w:val="24"/>
          <w:szCs w:val="24"/>
        </w:rPr>
        <w:t>Geçerli finansal raporlama çerçevesi, belirli kullanıcıların finansal bilgi ihtiyaçlarını karşılamaya yönelik tasarlanmış bir gerçeğe uygun sunum çerçevesidir.</w:t>
      </w:r>
      <w:r w:rsidRPr="0060354D">
        <w:rPr>
          <w:rStyle w:val="FootnoteReference"/>
          <w:rFonts w:ascii="Times New Roman" w:hAnsi="Times New Roman"/>
          <w:sz w:val="24"/>
          <w:szCs w:val="24"/>
        </w:rPr>
        <w:footnoteReference w:customMarkFollows="1" w:id="26"/>
        <w:t>3</w:t>
      </w:r>
    </w:p>
    <w:p w:rsidR="00285C13" w:rsidRPr="00942409" w:rsidRDefault="00285C13" w:rsidP="009E0269">
      <w:pPr>
        <w:numPr>
          <w:ilvl w:val="0"/>
          <w:numId w:val="12"/>
        </w:numPr>
        <w:autoSpaceDE w:val="0"/>
        <w:autoSpaceDN w:val="0"/>
        <w:adjustRightInd w:val="0"/>
        <w:spacing w:before="120" w:after="120" w:line="276" w:lineRule="auto"/>
        <w:ind w:right="142" w:hanging="720"/>
        <w:jc w:val="both"/>
        <w:rPr>
          <w:rFonts w:ascii="Times New Roman" w:hAnsi="Times New Roman"/>
          <w:b/>
          <w:color w:val="000000"/>
          <w:sz w:val="24"/>
          <w:szCs w:val="24"/>
        </w:rPr>
      </w:pPr>
      <w:r w:rsidRPr="00942409">
        <w:rPr>
          <w:rFonts w:ascii="Times New Roman" w:hAnsi="Times New Roman"/>
          <w:b/>
          <w:sz w:val="24"/>
          <w:szCs w:val="24"/>
        </w:rPr>
        <w:t>Denetçi</w:t>
      </w:r>
      <w:r>
        <w:rPr>
          <w:rFonts w:ascii="Times New Roman" w:hAnsi="Times New Roman"/>
          <w:b/>
          <w:sz w:val="24"/>
          <w:szCs w:val="24"/>
        </w:rPr>
        <w:t>,</w:t>
      </w:r>
      <w:r w:rsidRPr="00942409">
        <w:rPr>
          <w:rFonts w:ascii="Times New Roman" w:hAnsi="Times New Roman"/>
          <w:b/>
          <w:sz w:val="24"/>
          <w:szCs w:val="24"/>
        </w:rPr>
        <w:t xml:space="preserve"> “tüm önemli yönleriyle gerçeğe uygun bir biçimde sunmaktadır” ifadesinin denetçi görüşünde kullanılmasının uygun olduğuna karar vermiştir.</w:t>
      </w:r>
    </w:p>
    <w:p w:rsidR="00285C13" w:rsidRPr="00942409" w:rsidRDefault="00285C13" w:rsidP="009E0269">
      <w:pPr>
        <w:numPr>
          <w:ilvl w:val="0"/>
          <w:numId w:val="12"/>
        </w:numPr>
        <w:autoSpaceDE w:val="0"/>
        <w:autoSpaceDN w:val="0"/>
        <w:adjustRightInd w:val="0"/>
        <w:spacing w:before="120" w:after="120" w:line="276" w:lineRule="auto"/>
        <w:ind w:right="142" w:hanging="720"/>
        <w:jc w:val="both"/>
        <w:rPr>
          <w:rFonts w:ascii="Times New Roman" w:hAnsi="Times New Roman"/>
          <w:b/>
          <w:sz w:val="24"/>
          <w:szCs w:val="24"/>
          <w:lang w:eastAsia="en-US"/>
        </w:rPr>
      </w:pPr>
      <w:r w:rsidRPr="00942409">
        <w:rPr>
          <w:rFonts w:ascii="Times New Roman" w:hAnsi="Times New Roman"/>
          <w:b/>
          <w:sz w:val="24"/>
          <w:szCs w:val="24"/>
          <w:lang w:eastAsia="en-US"/>
        </w:rPr>
        <w:t xml:space="preserve">Denetçi raporunun </w:t>
      </w:r>
      <w:r w:rsidRPr="009E0269">
        <w:rPr>
          <w:rFonts w:ascii="Times New Roman" w:hAnsi="Times New Roman"/>
          <w:b/>
          <w:sz w:val="24"/>
          <w:szCs w:val="24"/>
          <w:lang w:eastAsia="en-US"/>
        </w:rPr>
        <w:t>dağıtımı</w:t>
      </w:r>
      <w:r w:rsidRPr="0060354D">
        <w:rPr>
          <w:rFonts w:ascii="Times New Roman" w:hAnsi="Times New Roman"/>
          <w:b/>
          <w:sz w:val="24"/>
          <w:szCs w:val="24"/>
          <w:lang w:eastAsia="en-US"/>
        </w:rPr>
        <w:t xml:space="preserve"> ve kullanımı sınırlandırılmamıştır</w:t>
      </w:r>
      <w:r>
        <w:rPr>
          <w:rFonts w:ascii="Times New Roman" w:hAnsi="Times New Roman"/>
          <w:b/>
          <w:sz w:val="24"/>
          <w:szCs w:val="24"/>
          <w:lang w:eastAsia="en-US"/>
        </w:rPr>
        <w:t>.</w:t>
      </w:r>
    </w:p>
    <w:p w:rsidR="00285C13" w:rsidRPr="009E0269" w:rsidRDefault="00285C13" w:rsidP="009E0269">
      <w:pPr>
        <w:spacing w:before="120" w:after="120" w:line="276" w:lineRule="auto"/>
        <w:rPr>
          <w:rFonts w:ascii="Times New Roman" w:hAnsi="Times New Roman"/>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BAĞIMSIZ DENETÇİ RAPORU</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w:t>
      </w:r>
      <w:r>
        <w:rPr>
          <w:rFonts w:ascii="Times New Roman" w:hAnsi="Times New Roman"/>
          <w:color w:val="000000"/>
          <w:sz w:val="24"/>
          <w:szCs w:val="24"/>
        </w:rPr>
        <w:t>Uygun Olan</w:t>
      </w:r>
      <w:r w:rsidRPr="00942409">
        <w:rPr>
          <w:rFonts w:ascii="Times New Roman" w:hAnsi="Times New Roman"/>
          <w:color w:val="000000"/>
          <w:sz w:val="24"/>
          <w:szCs w:val="24"/>
        </w:rPr>
        <w:t xml:space="preserve"> Muhatap]</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ABC Şirketinin ilişikteki</w:t>
      </w:r>
      <w:r>
        <w:rPr>
          <w:rFonts w:ascii="Times New Roman" w:hAnsi="Times New Roman"/>
          <w:color w:val="000000"/>
          <w:sz w:val="24"/>
          <w:szCs w:val="24"/>
        </w:rPr>
        <w:t>,</w:t>
      </w:r>
      <w:r w:rsidRPr="00942409">
        <w:rPr>
          <w:rFonts w:ascii="Times New Roman" w:hAnsi="Times New Roman"/>
          <w:color w:val="000000"/>
          <w:sz w:val="24"/>
          <w:szCs w:val="24"/>
        </w:rPr>
        <w:t xml:space="preserve"> 31 Aralık 20X1 tarihinde sona eren hesap dönemine ait nakit tahsil</w:t>
      </w:r>
      <w:r>
        <w:rPr>
          <w:rFonts w:ascii="Times New Roman" w:hAnsi="Times New Roman"/>
          <w:color w:val="000000"/>
          <w:sz w:val="24"/>
          <w:szCs w:val="24"/>
        </w:rPr>
        <w:t>â</w:t>
      </w:r>
      <w:r w:rsidRPr="00942409">
        <w:rPr>
          <w:rFonts w:ascii="Times New Roman" w:hAnsi="Times New Roman"/>
          <w:color w:val="000000"/>
          <w:sz w:val="24"/>
          <w:szCs w:val="24"/>
        </w:rPr>
        <w:t>tlar ve nakit ödemeler tablosunu, önemli muhasebe politikalarını özetleyen dipnotlar</w:t>
      </w:r>
      <w:r>
        <w:rPr>
          <w:rFonts w:ascii="Times New Roman" w:hAnsi="Times New Roman"/>
          <w:color w:val="000000"/>
          <w:sz w:val="24"/>
          <w:szCs w:val="24"/>
        </w:rPr>
        <w:t>ını</w:t>
      </w:r>
      <w:r w:rsidRPr="00942409">
        <w:rPr>
          <w:rFonts w:ascii="Times New Roman" w:hAnsi="Times New Roman"/>
          <w:color w:val="000000"/>
          <w:sz w:val="24"/>
          <w:szCs w:val="24"/>
        </w:rPr>
        <w:t xml:space="preserve"> ve diğer açıklayıcı </w:t>
      </w:r>
      <w:r w:rsidRPr="00E93AA7">
        <w:rPr>
          <w:rFonts w:ascii="Times New Roman" w:hAnsi="Times New Roman"/>
          <w:color w:val="000000"/>
          <w:sz w:val="24"/>
          <w:szCs w:val="24"/>
        </w:rPr>
        <w:t>notlarını (tamamı için “bu finansal tablo”) denetlemiş</w:t>
      </w:r>
      <w:r w:rsidRPr="00942409">
        <w:rPr>
          <w:rFonts w:ascii="Times New Roman" w:hAnsi="Times New Roman"/>
          <w:color w:val="000000"/>
          <w:sz w:val="24"/>
          <w:szCs w:val="24"/>
        </w:rPr>
        <w:t xml:space="preserve"> bulunuyoruz. Bu finansal tablo, yönetim tarafından, finansal tablonun </w:t>
      </w:r>
      <w:r w:rsidRPr="00E93AA7">
        <w:rPr>
          <w:rFonts w:ascii="Times New Roman" w:hAnsi="Times New Roman"/>
          <w:color w:val="000000"/>
          <w:sz w:val="24"/>
          <w:szCs w:val="24"/>
        </w:rPr>
        <w:t>X dipnotunda açıklanan nakit tahsilât ve nakit ödeme esaslı muhasebe ilkeleri kullanılarak hazırlanmıştır</w:t>
      </w:r>
      <w:r w:rsidRPr="00942409">
        <w:rPr>
          <w:rFonts w:ascii="Times New Roman" w:hAnsi="Times New Roman"/>
          <w:color w:val="000000"/>
          <w:sz w:val="24"/>
          <w:szCs w:val="24"/>
        </w:rPr>
        <w:t>.</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sz w:val="24"/>
          <w:szCs w:val="24"/>
        </w:rPr>
        <w:t>Yönetimin</w:t>
      </w:r>
      <w:r w:rsidRPr="00942409">
        <w:rPr>
          <w:rFonts w:ascii="Times New Roman" w:hAnsi="Times New Roman"/>
          <w:sz w:val="24"/>
          <w:szCs w:val="24"/>
          <w:vertAlign w:val="superscript"/>
        </w:rPr>
        <w:footnoteReference w:customMarkFollows="1" w:id="27"/>
        <w:t>4</w:t>
      </w:r>
      <w:r w:rsidRPr="00942409">
        <w:rPr>
          <w:rFonts w:ascii="Times New Roman" w:hAnsi="Times New Roman"/>
          <w:b/>
          <w:sz w:val="24"/>
          <w:szCs w:val="24"/>
        </w:rPr>
        <w:t xml:space="preserve"> Finansal Tabloya İlişkin Sorumluluğu</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E0269">
        <w:rPr>
          <w:rFonts w:ascii="Times New Roman" w:hAnsi="Times New Roman"/>
          <w:color w:val="000000"/>
          <w:sz w:val="24"/>
          <w:szCs w:val="24"/>
        </w:rPr>
        <w:t>Şirket yönetimi; söz konusu finansal tablonun X dipnotunda açıklanan nakit tahsilât ve nakit ödeme esaslı muhasebe ilkelerinin, içinde bulunulan şartlar altında, bu finansal tablonun hazırlanması için kabul edilebilir olduğunun belirlenmesi de dâhil olmak üzere, finansal tablonun söz konusu muhasebe ilkelerine uygun olarak hazırlanmasından, gerçeğe uygun bir biçimde sunumundan ve hata veya hile kaynaklı önemli yanlışlık içermeyen finansal tablonun hazırlanması için gerekli gördüğü iç kontrol</w:t>
      </w:r>
      <w:r w:rsidRPr="0060354D">
        <w:rPr>
          <w:rFonts w:ascii="Times New Roman" w:hAnsi="Times New Roman"/>
          <w:color w:val="000000"/>
          <w:sz w:val="24"/>
          <w:szCs w:val="24"/>
        </w:rPr>
        <w:t>den sorumludur.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Bağımsız Denetçinin Sorumluluğu</w:t>
      </w:r>
    </w:p>
    <w:p w:rsidR="00285C13" w:rsidRPr="00942409" w:rsidRDefault="00285C13" w:rsidP="009E0269">
      <w:pPr>
        <w:autoSpaceDE w:val="0"/>
        <w:autoSpaceDN w:val="0"/>
        <w:adjustRightInd w:val="0"/>
        <w:spacing w:before="120" w:after="120" w:line="276" w:lineRule="auto"/>
        <w:jc w:val="both"/>
        <w:rPr>
          <w:rFonts w:ascii="Times New Roman" w:hAnsi="Times New Roman"/>
          <w:color w:val="000000"/>
          <w:sz w:val="24"/>
          <w:szCs w:val="24"/>
        </w:rPr>
      </w:pPr>
      <w:r w:rsidRPr="009A3491">
        <w:rPr>
          <w:rFonts w:ascii="Times New Roman" w:hAnsi="Times New Roman"/>
          <w:color w:val="000000"/>
          <w:sz w:val="24"/>
        </w:rPr>
        <w:t>Sorumluluğumuz</w:t>
      </w:r>
      <w:r w:rsidRPr="00F965DA">
        <w:rPr>
          <w:rFonts w:ascii="Times New Roman" w:hAnsi="Times New Roman"/>
          <w:color w:val="000000"/>
          <w:sz w:val="24"/>
        </w:rPr>
        <w:t>,</w:t>
      </w:r>
      <w:r w:rsidRPr="00B80D52">
        <w:rPr>
          <w:rFonts w:ascii="Times New Roman" w:hAnsi="Times New Roman"/>
          <w:color w:val="000000"/>
          <w:sz w:val="24"/>
        </w:rPr>
        <w:t xml:space="preserve"> yaptığımız bağımsız denetime dayanarak</w:t>
      </w:r>
      <w:r w:rsidRPr="00374FBB">
        <w:rPr>
          <w:rFonts w:ascii="Times New Roman" w:hAnsi="Times New Roman"/>
          <w:color w:val="000000"/>
          <w:sz w:val="24"/>
        </w:rPr>
        <w:t>,</w:t>
      </w:r>
      <w:r w:rsidRPr="00394E75">
        <w:rPr>
          <w:rFonts w:ascii="Times New Roman" w:hAnsi="Times New Roman"/>
          <w:color w:val="000000"/>
          <w:sz w:val="24"/>
        </w:rPr>
        <w:t xml:space="preserve"> bu finansal tablo hakkında görüş vermektir. </w:t>
      </w:r>
      <w:r w:rsidRPr="00492C5F">
        <w:rPr>
          <w:rFonts w:ascii="Times New Roman" w:hAnsi="Times New Roman"/>
          <w:color w:val="000000"/>
          <w:sz w:val="24"/>
        </w:rPr>
        <w:t xml:space="preserve">Yaptığımız bağımsız </w:t>
      </w:r>
      <w:r w:rsidRPr="00EA10A0">
        <w:rPr>
          <w:rFonts w:ascii="Times New Roman" w:hAnsi="Times New Roman"/>
          <w:color w:val="000000"/>
          <w:sz w:val="24"/>
        </w:rPr>
        <w:t>denetim, Kamu Gözetimi, Muhasebe ve Denet</w:t>
      </w:r>
      <w:r w:rsidRPr="00B05C25">
        <w:rPr>
          <w:rFonts w:ascii="Times New Roman" w:hAnsi="Times New Roman"/>
          <w:color w:val="000000"/>
          <w:sz w:val="24"/>
        </w:rPr>
        <w:t xml:space="preserve">im Standartları Kurumu tarafından yayımlanan </w:t>
      </w:r>
      <w:r w:rsidRPr="00550CD8">
        <w:rPr>
          <w:rFonts w:ascii="Times New Roman" w:hAnsi="Times New Roman"/>
          <w:color w:val="000000"/>
          <w:sz w:val="24"/>
          <w:szCs w:val="24"/>
        </w:rPr>
        <w:t xml:space="preserve">Türkiye Denetim Standartlarının bir parçası olan </w:t>
      </w:r>
      <w:r w:rsidRPr="00550CD8">
        <w:rPr>
          <w:rFonts w:ascii="Times New Roman" w:hAnsi="Times New Roman"/>
          <w:color w:val="000000"/>
          <w:sz w:val="24"/>
        </w:rPr>
        <w:t xml:space="preserve">Bağımsız Denetim Standartlarına uygun olarak yürütülmüştür. Bu standartlar, etik </w:t>
      </w:r>
      <w:r w:rsidRPr="00550CD8">
        <w:rPr>
          <w:rFonts w:ascii="Times New Roman" w:hAnsi="Times New Roman"/>
          <w:color w:val="000000"/>
          <w:sz w:val="24"/>
          <w:szCs w:val="24"/>
        </w:rPr>
        <w:t xml:space="preserve">hükümlere uygunluk sağlanmasını </w:t>
      </w:r>
      <w:r w:rsidRPr="00550CD8">
        <w:rPr>
          <w:rFonts w:ascii="Times New Roman" w:hAnsi="Times New Roman"/>
          <w:color w:val="000000"/>
          <w:sz w:val="24"/>
        </w:rPr>
        <w:t>ve bağımsız denetimin, bu finansal tablonun önemli yanlışlık içerip içermediğine dair makul güvence elde etmek üzere planlanarak yürütülmesini gerektirmektedir.</w:t>
      </w:r>
    </w:p>
    <w:p w:rsidR="00285C13" w:rsidRPr="00550CD8" w:rsidRDefault="00285C13" w:rsidP="009E0269">
      <w:pPr>
        <w:autoSpaceDE w:val="0"/>
        <w:autoSpaceDN w:val="0"/>
        <w:adjustRightInd w:val="0"/>
        <w:spacing w:before="120" w:after="120" w:line="276" w:lineRule="auto"/>
        <w:jc w:val="both"/>
        <w:rPr>
          <w:rFonts w:ascii="Times New Roman" w:hAnsi="Times New Roman"/>
          <w:color w:val="000000"/>
          <w:sz w:val="24"/>
          <w:szCs w:val="24"/>
        </w:rPr>
      </w:pPr>
      <w:r w:rsidRPr="009A3491">
        <w:rPr>
          <w:rFonts w:ascii="Times New Roman" w:hAnsi="Times New Roman"/>
          <w:color w:val="000000"/>
          <w:sz w:val="24"/>
        </w:rPr>
        <w:t xml:space="preserve">Bağımsız denetim, </w:t>
      </w:r>
      <w:r w:rsidRPr="00F965DA">
        <w:rPr>
          <w:rFonts w:ascii="Times New Roman" w:hAnsi="Times New Roman"/>
          <w:color w:val="000000"/>
          <w:sz w:val="24"/>
        </w:rPr>
        <w:t xml:space="preserve">bu </w:t>
      </w:r>
      <w:r w:rsidRPr="00B80D52">
        <w:rPr>
          <w:rFonts w:ascii="Times New Roman" w:hAnsi="Times New Roman"/>
          <w:color w:val="000000"/>
          <w:sz w:val="24"/>
        </w:rPr>
        <w:t xml:space="preserve">finansal tablodaki tutar ve açıklamalar hakkında denetim kanıtı elde etmek amacıyla </w:t>
      </w:r>
      <w:r w:rsidRPr="00374FBB">
        <w:rPr>
          <w:rFonts w:ascii="Times New Roman" w:hAnsi="Times New Roman"/>
          <w:color w:val="000000"/>
          <w:sz w:val="24"/>
          <w:szCs w:val="24"/>
        </w:rPr>
        <w:t xml:space="preserve">denetim prosedürlerinin uygulanmasını içerir. </w:t>
      </w:r>
      <w:r w:rsidRPr="00942409">
        <w:rPr>
          <w:rFonts w:ascii="Times New Roman" w:hAnsi="Times New Roman"/>
          <w:color w:val="000000"/>
          <w:sz w:val="24"/>
          <w:szCs w:val="24"/>
        </w:rPr>
        <w:t xml:space="preserve">Bu prosedürlerin seçimi, </w:t>
      </w:r>
      <w:r w:rsidRPr="009A3491">
        <w:rPr>
          <w:rFonts w:ascii="Times New Roman" w:hAnsi="Times New Roman"/>
          <w:color w:val="000000"/>
          <w:sz w:val="24"/>
        </w:rPr>
        <w:t xml:space="preserve">bu </w:t>
      </w:r>
      <w:r w:rsidRPr="00F965DA">
        <w:rPr>
          <w:rFonts w:ascii="Times New Roman" w:hAnsi="Times New Roman"/>
          <w:color w:val="000000"/>
          <w:sz w:val="24"/>
        </w:rPr>
        <w:t xml:space="preserve">finansal tablodaki </w:t>
      </w:r>
      <w:r w:rsidRPr="00942409">
        <w:rPr>
          <w:rFonts w:ascii="Times New Roman" w:hAnsi="Times New Roman"/>
          <w:color w:val="000000"/>
          <w:sz w:val="24"/>
          <w:szCs w:val="24"/>
        </w:rPr>
        <w:t>hata veya hile kaynaklı “önemli yanlışlık” risklerinin değerlendirilmesi de dâhil, bağımsız denetçinin mesleki muhakemesine dayanır. Bağımsız</w:t>
      </w:r>
      <w:r w:rsidRPr="009A3491">
        <w:rPr>
          <w:rFonts w:ascii="Times New Roman" w:hAnsi="Times New Roman"/>
          <w:color w:val="000000"/>
          <w:sz w:val="24"/>
        </w:rPr>
        <w:t xml:space="preserve"> denetçi</w:t>
      </w:r>
      <w:r w:rsidRPr="00F965DA">
        <w:rPr>
          <w:rFonts w:ascii="Times New Roman" w:hAnsi="Times New Roman"/>
          <w:color w:val="000000"/>
          <w:sz w:val="24"/>
        </w:rPr>
        <w:t xml:space="preserve">, </w:t>
      </w:r>
      <w:r w:rsidRPr="00942409">
        <w:rPr>
          <w:rFonts w:ascii="Times New Roman" w:hAnsi="Times New Roman"/>
          <w:color w:val="000000"/>
          <w:sz w:val="24"/>
          <w:szCs w:val="24"/>
        </w:rPr>
        <w:t xml:space="preserve">risk değerlendirmelerini yaparken, şartlara uygun denetim prosedürlerini tasarlamak amacıyla, </w:t>
      </w:r>
      <w:r w:rsidRPr="009A3491">
        <w:rPr>
          <w:rFonts w:ascii="Times New Roman" w:hAnsi="Times New Roman"/>
          <w:color w:val="000000"/>
          <w:sz w:val="24"/>
        </w:rPr>
        <w:t>işletmeye a</w:t>
      </w:r>
      <w:r w:rsidRPr="00F965DA">
        <w:rPr>
          <w:rFonts w:ascii="Times New Roman" w:hAnsi="Times New Roman"/>
          <w:color w:val="000000"/>
          <w:sz w:val="24"/>
        </w:rPr>
        <w:t>it bu finansal tablonun hazırlanması ve gerçeğe uygun sunumuyla ilgili</w:t>
      </w:r>
      <w:r w:rsidRPr="00B80D52">
        <w:rPr>
          <w:rFonts w:ascii="Times New Roman" w:hAnsi="Times New Roman"/>
          <w:color w:val="000000"/>
          <w:sz w:val="24"/>
        </w:rPr>
        <w:t xml:space="preserve"> iç kontrolü değerlendirir, </w:t>
      </w:r>
      <w:r w:rsidRPr="00942409">
        <w:rPr>
          <w:rFonts w:ascii="Times New Roman" w:hAnsi="Times New Roman"/>
          <w:color w:val="000000"/>
          <w:sz w:val="24"/>
          <w:szCs w:val="24"/>
        </w:rPr>
        <w:t>ancak bu değerlendirme, işletmenin iç kontrolünün etkinliğine ilişkin bir görüş verme amacı taşımaz.</w:t>
      </w:r>
      <w:r w:rsidRPr="009A3491">
        <w:rPr>
          <w:rFonts w:ascii="Times New Roman" w:hAnsi="Times New Roman"/>
          <w:color w:val="000000"/>
          <w:sz w:val="24"/>
        </w:rPr>
        <w:t xml:space="preserve"> Bağımsız denetim, </w:t>
      </w:r>
      <w:r w:rsidRPr="00F965DA">
        <w:rPr>
          <w:rFonts w:ascii="Times New Roman" w:hAnsi="Times New Roman"/>
          <w:color w:val="000000"/>
          <w:sz w:val="24"/>
        </w:rPr>
        <w:t xml:space="preserve">bir bütün olarak </w:t>
      </w:r>
      <w:r w:rsidRPr="00B80D52">
        <w:rPr>
          <w:rFonts w:ascii="Times New Roman" w:hAnsi="Times New Roman"/>
          <w:color w:val="000000"/>
          <w:sz w:val="24"/>
        </w:rPr>
        <w:t xml:space="preserve">bu </w:t>
      </w:r>
      <w:r w:rsidRPr="00374FBB">
        <w:rPr>
          <w:rFonts w:ascii="Times New Roman" w:hAnsi="Times New Roman"/>
          <w:color w:val="000000"/>
          <w:sz w:val="24"/>
        </w:rPr>
        <w:t>finansal tablo</w:t>
      </w:r>
      <w:r w:rsidRPr="00394E75">
        <w:rPr>
          <w:rFonts w:ascii="Times New Roman" w:hAnsi="Times New Roman"/>
          <w:color w:val="000000"/>
          <w:sz w:val="24"/>
        </w:rPr>
        <w:t>nu</w:t>
      </w:r>
      <w:r w:rsidRPr="00492C5F">
        <w:rPr>
          <w:rFonts w:ascii="Times New Roman" w:hAnsi="Times New Roman"/>
          <w:color w:val="000000"/>
          <w:sz w:val="24"/>
        </w:rPr>
        <w:t>n sunumunun değerlendirilmesinin yanı sıra, işletme yönetimi tarafından kullanılan muhasebe politikaları</w:t>
      </w:r>
      <w:r w:rsidRPr="00EA10A0">
        <w:rPr>
          <w:rFonts w:ascii="Times New Roman" w:hAnsi="Times New Roman"/>
          <w:color w:val="000000"/>
          <w:sz w:val="24"/>
        </w:rPr>
        <w:t>nın uygunluğunun</w:t>
      </w:r>
      <w:r w:rsidRPr="00B05C25">
        <w:rPr>
          <w:rFonts w:ascii="Times New Roman" w:hAnsi="Times New Roman"/>
          <w:color w:val="000000"/>
          <w:sz w:val="24"/>
        </w:rPr>
        <w:t xml:space="preserve"> </w:t>
      </w:r>
      <w:r w:rsidRPr="00550CD8">
        <w:rPr>
          <w:rFonts w:ascii="Times New Roman" w:hAnsi="Times New Roman"/>
          <w:color w:val="000000"/>
          <w:sz w:val="24"/>
        </w:rPr>
        <w:t xml:space="preserve">ve -varsa- yapılan muhasebe tahminlerinin </w:t>
      </w:r>
      <w:r w:rsidRPr="00550CD8">
        <w:rPr>
          <w:rFonts w:ascii="Times New Roman" w:hAnsi="Times New Roman"/>
          <w:color w:val="000000"/>
          <w:sz w:val="24"/>
          <w:szCs w:val="24"/>
        </w:rPr>
        <w:t xml:space="preserve">makul olup olmadığının değerlendirilmesini de içerir. </w:t>
      </w:r>
    </w:p>
    <w:p w:rsidR="00285C13" w:rsidRPr="00550CD8" w:rsidRDefault="00285C13" w:rsidP="009E0269">
      <w:pPr>
        <w:autoSpaceDE w:val="0"/>
        <w:autoSpaceDN w:val="0"/>
        <w:adjustRightInd w:val="0"/>
        <w:spacing w:before="120" w:after="120" w:line="276" w:lineRule="auto"/>
        <w:jc w:val="both"/>
        <w:rPr>
          <w:rFonts w:ascii="Times New Roman" w:hAnsi="Times New Roman"/>
          <w:b/>
          <w:color w:val="000000"/>
          <w:sz w:val="24"/>
        </w:rPr>
      </w:pPr>
      <w:r w:rsidRPr="00550CD8">
        <w:rPr>
          <w:rFonts w:ascii="Times New Roman" w:hAnsi="Times New Roman"/>
          <w:color w:val="000000"/>
          <w:sz w:val="24"/>
        </w:rPr>
        <w:t>Bağımsız denetim sırasında elde ettiğimiz denetim kanıtlarının, görüşümüzün oluşturulması için yeterli ve uygun bir dayanak oluşturduğuna inanıyoruz.</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Görüş</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 xml:space="preserve">Görüşümüze göre bu finansal tablo; ABC Şirketinin 31 Aralık 20X1 tarihinde sona eren hesap dönemine ait nakit </w:t>
      </w:r>
      <w:r w:rsidRPr="0099660E">
        <w:rPr>
          <w:rFonts w:ascii="Times New Roman" w:hAnsi="Times New Roman"/>
          <w:color w:val="000000"/>
          <w:sz w:val="24"/>
          <w:szCs w:val="24"/>
        </w:rPr>
        <w:t>tahsilatları ve nakit ödemelerini, finansal tablonun X dipnotunda açıklanan nakit tahsilat</w:t>
      </w:r>
      <w:r w:rsidRPr="009E0269">
        <w:rPr>
          <w:rFonts w:ascii="Times New Roman" w:hAnsi="Times New Roman"/>
          <w:color w:val="000000"/>
          <w:sz w:val="24"/>
          <w:szCs w:val="24"/>
        </w:rPr>
        <w:t xml:space="preserve"> </w:t>
      </w:r>
      <w:r w:rsidRPr="0099660E">
        <w:rPr>
          <w:rFonts w:ascii="Times New Roman" w:hAnsi="Times New Roman"/>
          <w:color w:val="000000"/>
          <w:sz w:val="24"/>
          <w:szCs w:val="24"/>
        </w:rPr>
        <w:t>ve nakit ödeme esaslı</w:t>
      </w:r>
      <w:r w:rsidRPr="00942409">
        <w:rPr>
          <w:rFonts w:ascii="Times New Roman" w:hAnsi="Times New Roman"/>
          <w:color w:val="000000"/>
          <w:sz w:val="24"/>
          <w:szCs w:val="24"/>
        </w:rPr>
        <w:t xml:space="preserve"> muhasebe</w:t>
      </w:r>
      <w:r>
        <w:rPr>
          <w:rFonts w:ascii="Times New Roman" w:hAnsi="Times New Roman"/>
          <w:color w:val="000000"/>
          <w:sz w:val="24"/>
          <w:szCs w:val="24"/>
        </w:rPr>
        <w:t xml:space="preserve"> ilkelerine</w:t>
      </w:r>
      <w:r w:rsidRPr="00942409">
        <w:rPr>
          <w:rFonts w:ascii="Times New Roman" w:hAnsi="Times New Roman"/>
          <w:color w:val="000000"/>
          <w:sz w:val="24"/>
          <w:szCs w:val="24"/>
        </w:rPr>
        <w:t xml:space="preserve"> uygun olarak tüm önemli yönleriyle gerçeğe uygun bir biçimde sunmaktadır.</w:t>
      </w:r>
    </w:p>
    <w:p w:rsidR="00285C13" w:rsidRPr="00942409" w:rsidRDefault="00285C13" w:rsidP="009E0269">
      <w:pPr>
        <w:spacing w:before="120" w:after="120" w:line="276" w:lineRule="auto"/>
        <w:ind w:right="142"/>
        <w:rPr>
          <w:rFonts w:ascii="Times New Roman" w:hAnsi="Times New Roman"/>
          <w:b/>
          <w:bCs/>
          <w:color w:val="000000"/>
          <w:sz w:val="24"/>
          <w:szCs w:val="24"/>
        </w:rPr>
      </w:pPr>
      <w:r w:rsidRPr="00942409">
        <w:rPr>
          <w:rFonts w:ascii="Times New Roman" w:hAnsi="Times New Roman"/>
          <w:b/>
          <w:color w:val="000000"/>
          <w:sz w:val="24"/>
          <w:szCs w:val="24"/>
        </w:rPr>
        <w:t>Muhasebe Esas</w:t>
      </w:r>
      <w:r>
        <w:rPr>
          <w:rFonts w:ascii="Times New Roman" w:hAnsi="Times New Roman"/>
          <w:b/>
          <w:color w:val="000000"/>
          <w:sz w:val="24"/>
          <w:szCs w:val="24"/>
        </w:rPr>
        <w:t>ı</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Görüşümüzü etkilememekle birlikte, bu finansal tablonun</w:t>
      </w:r>
      <w:r>
        <w:rPr>
          <w:rFonts w:ascii="Times New Roman" w:hAnsi="Times New Roman"/>
          <w:color w:val="000000"/>
          <w:sz w:val="24"/>
          <w:szCs w:val="24"/>
        </w:rPr>
        <w:t>,</w:t>
      </w:r>
      <w:r w:rsidRPr="00942409">
        <w:rPr>
          <w:rFonts w:ascii="Times New Roman" w:hAnsi="Times New Roman"/>
          <w:color w:val="000000"/>
          <w:sz w:val="24"/>
          <w:szCs w:val="24"/>
        </w:rPr>
        <w:t xml:space="preserve"> muhasebe esas</w:t>
      </w:r>
      <w:r>
        <w:rPr>
          <w:rFonts w:ascii="Times New Roman" w:hAnsi="Times New Roman"/>
          <w:color w:val="000000"/>
          <w:sz w:val="24"/>
          <w:szCs w:val="24"/>
        </w:rPr>
        <w:t>ını</w:t>
      </w:r>
      <w:r w:rsidRPr="00942409">
        <w:rPr>
          <w:rFonts w:ascii="Times New Roman" w:hAnsi="Times New Roman"/>
          <w:color w:val="000000"/>
          <w:sz w:val="24"/>
          <w:szCs w:val="24"/>
        </w:rPr>
        <w:t xml:space="preserve"> açıkla</w:t>
      </w:r>
      <w:r>
        <w:rPr>
          <w:rFonts w:ascii="Times New Roman" w:hAnsi="Times New Roman"/>
          <w:color w:val="000000"/>
          <w:sz w:val="24"/>
          <w:szCs w:val="24"/>
        </w:rPr>
        <w:t xml:space="preserve">yan </w:t>
      </w:r>
      <w:r w:rsidRPr="00942409">
        <w:rPr>
          <w:rFonts w:ascii="Times New Roman" w:hAnsi="Times New Roman"/>
          <w:color w:val="000000"/>
          <w:sz w:val="24"/>
          <w:szCs w:val="24"/>
        </w:rPr>
        <w:t xml:space="preserve">X dipnotuna dikkat çekeriz. Bu finansal tablo, alacaklı XYZ’ye bilgi vermek amacıyla hazırlanmıştır. </w:t>
      </w:r>
      <w:r>
        <w:rPr>
          <w:rFonts w:ascii="Times New Roman" w:hAnsi="Times New Roman"/>
          <w:color w:val="000000"/>
          <w:sz w:val="24"/>
          <w:szCs w:val="24"/>
        </w:rPr>
        <w:t>Bu sebeple</w:t>
      </w:r>
      <w:r w:rsidRPr="00942409">
        <w:rPr>
          <w:rFonts w:ascii="Times New Roman" w:hAnsi="Times New Roman"/>
          <w:color w:val="000000"/>
          <w:sz w:val="24"/>
          <w:szCs w:val="24"/>
        </w:rPr>
        <w:t>, bu finansal tablo başka amaçlar için uygun olmayabilir.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[Bağımsız Denetçinin imzası]</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[Bağımsız Denetçi raporu tarihi]</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[Bağımsız Denetçinin adresi]</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FFFFFF"/>
          <w:sz w:val="24"/>
          <w:szCs w:val="24"/>
        </w:rPr>
      </w:pPr>
    </w:p>
    <w:p w:rsidR="00285C13" w:rsidRPr="00942409" w:rsidRDefault="00285C13" w:rsidP="009E0269">
      <w:pPr>
        <w:spacing w:before="120" w:after="120" w:line="276" w:lineRule="auto"/>
        <w:ind w:right="142"/>
        <w:jc w:val="both"/>
        <w:rPr>
          <w:rFonts w:ascii="Times New Roman" w:hAnsi="Times New Roman"/>
          <w:b/>
          <w:bCs/>
          <w:color w:val="000000"/>
          <w:sz w:val="24"/>
          <w:szCs w:val="24"/>
        </w:rPr>
      </w:pPr>
      <w:r w:rsidRPr="00942409">
        <w:rPr>
          <w:rFonts w:ascii="Times New Roman" w:hAnsi="Times New Roman"/>
          <w:sz w:val="24"/>
          <w:szCs w:val="24"/>
        </w:rPr>
        <w:br w:type="page"/>
      </w:r>
    </w:p>
    <w:p w:rsidR="00285C13" w:rsidRPr="00942409" w:rsidRDefault="00285C13" w:rsidP="009E0269">
      <w:pPr>
        <w:autoSpaceDE w:val="0"/>
        <w:autoSpaceDN w:val="0"/>
        <w:adjustRightInd w:val="0"/>
        <w:spacing w:before="120" w:after="120" w:line="276" w:lineRule="auto"/>
        <w:ind w:left="142" w:right="142"/>
        <w:jc w:val="both"/>
        <w:rPr>
          <w:rFonts w:ascii="Times New Roman" w:hAnsi="Times New Roman"/>
          <w:b/>
          <w:bCs/>
          <w:color w:val="000000"/>
          <w:sz w:val="24"/>
          <w:szCs w:val="24"/>
          <w:u w:val="single"/>
        </w:rPr>
      </w:pPr>
      <w:r>
        <w:rPr>
          <w:noProof/>
        </w:rPr>
        <w:pict>
          <v:rect id="Dikdörtgen 17" o:spid="_x0000_s1029" style="position:absolute;left:0;text-align:left;margin-left:-2pt;margin-top:-2.95pt;width:466.35pt;height:292.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" filled="f">
            <v:shadow on="t" color="black" opacity="24903f" origin=",.5" offset="0,.55556mm"/>
            <v:path arrowok="t"/>
          </v:rect>
        </w:pict>
      </w:r>
      <w:r w:rsidRPr="00942409">
        <w:rPr>
          <w:rFonts w:ascii="Times New Roman" w:hAnsi="Times New Roman"/>
          <w:b/>
          <w:color w:val="000000"/>
          <w:sz w:val="24"/>
          <w:szCs w:val="24"/>
          <w:u w:val="single"/>
        </w:rPr>
        <w:t>Örnek</w:t>
      </w:r>
      <w:r>
        <w:rPr>
          <w:rFonts w:ascii="Times New Roman" w:hAnsi="Times New Roman"/>
          <w:b/>
          <w:color w:val="000000"/>
          <w:sz w:val="24"/>
          <w:szCs w:val="24"/>
          <w:u w:val="single"/>
        </w:rPr>
        <w:t xml:space="preserve"> </w:t>
      </w:r>
      <w:r w:rsidRPr="00942409">
        <w:rPr>
          <w:rFonts w:ascii="Times New Roman" w:hAnsi="Times New Roman"/>
          <w:b/>
          <w:color w:val="000000"/>
          <w:sz w:val="24"/>
          <w:szCs w:val="24"/>
          <w:u w:val="single"/>
        </w:rPr>
        <w:t>3:</w:t>
      </w:r>
    </w:p>
    <w:p w:rsidR="00285C13" w:rsidRPr="00F965DA" w:rsidRDefault="00285C13" w:rsidP="009E0269">
      <w:pPr>
        <w:widowControl w:val="0"/>
        <w:autoSpaceDE w:val="0"/>
        <w:autoSpaceDN w:val="0"/>
        <w:adjustRightInd w:val="0"/>
        <w:spacing w:before="120" w:after="120" w:line="276" w:lineRule="auto"/>
        <w:ind w:left="142"/>
        <w:jc w:val="both"/>
        <w:rPr>
          <w:rFonts w:ascii="Times New Roman" w:hAnsi="Times New Roman"/>
          <w:b/>
          <w:color w:val="000000"/>
          <w:sz w:val="24"/>
          <w:szCs w:val="24"/>
        </w:rPr>
      </w:pPr>
      <w:r w:rsidRPr="009A3491">
        <w:rPr>
          <w:rFonts w:ascii="Times New Roman" w:hAnsi="Times New Roman"/>
          <w:b/>
          <w:color w:val="000000"/>
          <w:sz w:val="24"/>
          <w:szCs w:val="24"/>
        </w:rPr>
        <w:t>Bu örnekte yer alan denetçi raporuyla ilgili durumlar aşağıda gösterilmiştir:</w:t>
      </w:r>
    </w:p>
    <w:p w:rsidR="00285C13" w:rsidRPr="00942409" w:rsidRDefault="00285C13" w:rsidP="009E0269">
      <w:pPr>
        <w:numPr>
          <w:ilvl w:val="0"/>
          <w:numId w:val="11"/>
        </w:numPr>
        <w:autoSpaceDE w:val="0"/>
        <w:autoSpaceDN w:val="0"/>
        <w:adjustRightInd w:val="0"/>
        <w:spacing w:before="120" w:after="120" w:line="276" w:lineRule="auto"/>
        <w:ind w:right="142" w:hanging="578"/>
        <w:jc w:val="both"/>
        <w:rPr>
          <w:rFonts w:ascii="Times New Roman" w:hAnsi="Times New Roman"/>
          <w:b/>
          <w:color w:val="000000"/>
          <w:sz w:val="24"/>
          <w:szCs w:val="24"/>
        </w:rPr>
      </w:pPr>
      <w:r w:rsidRPr="00942409">
        <w:rPr>
          <w:rFonts w:ascii="Times New Roman" w:hAnsi="Times New Roman"/>
          <w:b/>
          <w:sz w:val="24"/>
          <w:szCs w:val="24"/>
        </w:rPr>
        <w:t>Sigorta portföyündeki “gerçekleşmiş ancak rapor edilmemiş” hasarlara ilişkin yükümlülüğün (</w:t>
      </w:r>
      <w:r>
        <w:rPr>
          <w:rFonts w:ascii="Times New Roman" w:hAnsi="Times New Roman"/>
          <w:b/>
          <w:sz w:val="24"/>
          <w:szCs w:val="24"/>
        </w:rPr>
        <w:t xml:space="preserve">bir başka ifadeyle, </w:t>
      </w:r>
      <w:r w:rsidRPr="00942409">
        <w:rPr>
          <w:rFonts w:ascii="Times New Roman" w:hAnsi="Times New Roman"/>
          <w:b/>
          <w:sz w:val="24"/>
          <w:szCs w:val="24"/>
        </w:rPr>
        <w:t>finansal tablonun bir unsuru, hesabı veya kaleminin) denetimi</w:t>
      </w:r>
      <w:r>
        <w:rPr>
          <w:rFonts w:ascii="Times New Roman" w:hAnsi="Times New Roman"/>
          <w:b/>
          <w:sz w:val="24"/>
          <w:szCs w:val="24"/>
        </w:rPr>
        <w:t xml:space="preserve"> yürütülmüştür.</w:t>
      </w:r>
    </w:p>
    <w:p w:rsidR="00285C13" w:rsidRPr="00CE7341" w:rsidRDefault="00285C13" w:rsidP="009E0269">
      <w:pPr>
        <w:pStyle w:val="ListParagraph"/>
        <w:numPr>
          <w:ilvl w:val="0"/>
          <w:numId w:val="17"/>
        </w:numPr>
        <w:spacing w:before="120" w:after="120" w:line="276" w:lineRule="auto"/>
        <w:ind w:left="709" w:hanging="567"/>
        <w:contextualSpacing w:val="0"/>
        <w:jc w:val="both"/>
        <w:rPr>
          <w:rFonts w:ascii="Times New Roman" w:hAnsi="Times New Roman"/>
          <w:b/>
          <w:sz w:val="24"/>
          <w:szCs w:val="24"/>
          <w:lang w:eastAsia="en-US"/>
        </w:rPr>
      </w:pPr>
      <w:r w:rsidRPr="00723B95">
        <w:rPr>
          <w:rFonts w:ascii="Times New Roman" w:hAnsi="Times New Roman"/>
          <w:b/>
          <w:sz w:val="24"/>
          <w:szCs w:val="24"/>
        </w:rPr>
        <w:t>Finansal bilgiler</w:t>
      </w:r>
      <w:r>
        <w:rPr>
          <w:rFonts w:ascii="Times New Roman" w:hAnsi="Times New Roman"/>
          <w:b/>
          <w:sz w:val="24"/>
          <w:szCs w:val="24"/>
        </w:rPr>
        <w:t>,</w:t>
      </w:r>
      <w:r w:rsidRPr="00723B95">
        <w:rPr>
          <w:rFonts w:ascii="Times New Roman" w:hAnsi="Times New Roman"/>
          <w:b/>
          <w:sz w:val="24"/>
          <w:szCs w:val="24"/>
        </w:rPr>
        <w:t xml:space="preserve"> işletme yönetimi tarafından, </w:t>
      </w:r>
      <w:r w:rsidRPr="00D030EE">
        <w:rPr>
          <w:rFonts w:ascii="Times New Roman" w:hAnsi="Times New Roman"/>
          <w:b/>
          <w:sz w:val="24"/>
          <w:szCs w:val="24"/>
          <w:lang w:eastAsia="en-US"/>
        </w:rPr>
        <w:t>düzenleyici bir</w:t>
      </w:r>
      <w:r w:rsidRPr="00D030EE" w:rsidDel="00BF786A">
        <w:rPr>
          <w:rFonts w:ascii="Times New Roman" w:hAnsi="Times New Roman"/>
          <w:b/>
          <w:sz w:val="24"/>
          <w:szCs w:val="24"/>
          <w:lang w:eastAsia="en-US"/>
        </w:rPr>
        <w:t xml:space="preserve"> </w:t>
      </w:r>
      <w:r w:rsidRPr="00D030EE">
        <w:rPr>
          <w:rFonts w:ascii="Times New Roman" w:hAnsi="Times New Roman"/>
          <w:b/>
          <w:sz w:val="24"/>
          <w:szCs w:val="24"/>
          <w:lang w:eastAsia="en-US"/>
        </w:rPr>
        <w:t>kurum tarafından getirilen yükümlülüklerin karşılanması amacıyla söz konusu kurum tarafından oluşturulan finansal raporlama hükümlerine (bir başka ifadeyle, özel amaçlı bir çerçeveye) uygun olarak hazırlanmıştır. Finansal raporlama çerçevesinin seçimi yönetimin kararına bağlı değildir.</w:t>
      </w:r>
    </w:p>
    <w:p w:rsidR="00285C13" w:rsidRPr="00723B95" w:rsidRDefault="00285C13" w:rsidP="009E0269">
      <w:pPr>
        <w:numPr>
          <w:ilvl w:val="0"/>
          <w:numId w:val="11"/>
        </w:numPr>
        <w:autoSpaceDE w:val="0"/>
        <w:autoSpaceDN w:val="0"/>
        <w:adjustRightInd w:val="0"/>
        <w:spacing w:before="120" w:after="120" w:line="276" w:lineRule="auto"/>
        <w:ind w:right="142" w:hanging="578"/>
        <w:jc w:val="both"/>
        <w:rPr>
          <w:rFonts w:ascii="Times New Roman" w:hAnsi="Times New Roman"/>
          <w:b/>
          <w:sz w:val="24"/>
          <w:szCs w:val="24"/>
        </w:rPr>
      </w:pPr>
      <w:r w:rsidRPr="00723B95">
        <w:rPr>
          <w:rFonts w:ascii="Times New Roman" w:hAnsi="Times New Roman"/>
          <w:b/>
          <w:sz w:val="24"/>
          <w:szCs w:val="24"/>
        </w:rPr>
        <w:t>Geçerli finansal raporlama çerçevesi, belirli kullanıcıların finansal bilgi ihtiyaçlarını karşılamaya yönelik tasarlanmış bir uygunluk çerçevesidir.</w:t>
      </w:r>
      <w:r w:rsidRPr="00723B95">
        <w:rPr>
          <w:rFonts w:ascii="Times New Roman" w:hAnsi="Times New Roman"/>
          <w:sz w:val="24"/>
          <w:szCs w:val="24"/>
          <w:vertAlign w:val="superscript"/>
        </w:rPr>
        <w:footnoteReference w:customMarkFollows="1" w:id="28"/>
        <w:t>5</w:t>
      </w:r>
    </w:p>
    <w:p w:rsidR="00285C13" w:rsidRPr="00723B95" w:rsidRDefault="00285C13" w:rsidP="009E0269">
      <w:pPr>
        <w:numPr>
          <w:ilvl w:val="0"/>
          <w:numId w:val="15"/>
        </w:numPr>
        <w:spacing w:before="120" w:after="120" w:line="276" w:lineRule="auto"/>
        <w:ind w:left="720" w:hanging="571"/>
        <w:jc w:val="both"/>
        <w:rPr>
          <w:rFonts w:ascii="Times New Roman" w:hAnsi="Times New Roman"/>
          <w:b/>
          <w:sz w:val="24"/>
          <w:szCs w:val="24"/>
          <w:lang w:eastAsia="en-US"/>
        </w:rPr>
      </w:pPr>
      <w:r w:rsidRPr="00942409">
        <w:rPr>
          <w:rFonts w:ascii="Times New Roman" w:hAnsi="Times New Roman"/>
          <w:b/>
          <w:sz w:val="24"/>
          <w:szCs w:val="24"/>
          <w:lang w:eastAsia="en-US"/>
        </w:rPr>
        <w:t xml:space="preserve">Denetim sözleşmesinin şartları, yönetimin finansal tablolara ilişkin BDS 210’da tanımlanan </w:t>
      </w:r>
      <w:r w:rsidRPr="00723B95">
        <w:rPr>
          <w:rFonts w:ascii="Times New Roman" w:hAnsi="Times New Roman"/>
          <w:b/>
          <w:sz w:val="24"/>
          <w:szCs w:val="24"/>
          <w:lang w:eastAsia="en-US"/>
        </w:rPr>
        <w:t>sorumluluğunu yansıtmaktadır.</w:t>
      </w:r>
    </w:p>
    <w:p w:rsidR="00285C13" w:rsidRPr="00723B95" w:rsidRDefault="00285C13" w:rsidP="009E0269">
      <w:pPr>
        <w:numPr>
          <w:ilvl w:val="0"/>
          <w:numId w:val="15"/>
        </w:numPr>
        <w:spacing w:before="120" w:after="120" w:line="276" w:lineRule="auto"/>
        <w:ind w:left="720" w:hanging="571"/>
        <w:jc w:val="both"/>
        <w:rPr>
          <w:rFonts w:ascii="Times New Roman" w:hAnsi="Times New Roman"/>
          <w:b/>
          <w:sz w:val="24"/>
          <w:szCs w:val="24"/>
          <w:lang w:eastAsia="en-US"/>
        </w:rPr>
      </w:pPr>
      <w:r w:rsidRPr="00723B95">
        <w:rPr>
          <w:rFonts w:ascii="Times New Roman" w:hAnsi="Times New Roman"/>
          <w:b/>
          <w:sz w:val="24"/>
          <w:szCs w:val="24"/>
          <w:lang w:eastAsia="en-US"/>
        </w:rPr>
        <w:t xml:space="preserve">Denetçi raporunun </w:t>
      </w:r>
      <w:r w:rsidRPr="009E0269">
        <w:rPr>
          <w:rFonts w:ascii="Times New Roman" w:hAnsi="Times New Roman"/>
          <w:b/>
          <w:sz w:val="24"/>
          <w:szCs w:val="24"/>
          <w:lang w:eastAsia="en-US"/>
        </w:rPr>
        <w:t>dağıtımı</w:t>
      </w:r>
      <w:r w:rsidRPr="00723B95">
        <w:rPr>
          <w:rFonts w:ascii="Times New Roman" w:hAnsi="Times New Roman"/>
          <w:b/>
          <w:sz w:val="24"/>
          <w:szCs w:val="24"/>
          <w:lang w:eastAsia="en-US"/>
        </w:rPr>
        <w:t xml:space="preserve"> ve kullanımı sınırlandırılmıştır.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BAĞIMSIZ DENETÇİ RAPORU</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w:t>
      </w:r>
      <w:r>
        <w:rPr>
          <w:rFonts w:ascii="Times New Roman" w:hAnsi="Times New Roman"/>
          <w:color w:val="000000"/>
          <w:sz w:val="24"/>
          <w:szCs w:val="24"/>
        </w:rPr>
        <w:t>Uygun Olan</w:t>
      </w:r>
      <w:r w:rsidRPr="00942409">
        <w:rPr>
          <w:rFonts w:ascii="Times New Roman" w:hAnsi="Times New Roman"/>
          <w:color w:val="000000"/>
          <w:sz w:val="24"/>
          <w:szCs w:val="24"/>
        </w:rPr>
        <w:t xml:space="preserve"> Muhatap]</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 xml:space="preserve">ABC </w:t>
      </w:r>
      <w:r>
        <w:rPr>
          <w:rFonts w:ascii="Times New Roman" w:hAnsi="Times New Roman"/>
          <w:color w:val="000000"/>
          <w:sz w:val="24"/>
          <w:szCs w:val="24"/>
        </w:rPr>
        <w:t xml:space="preserve">Sigorta </w:t>
      </w:r>
      <w:r w:rsidRPr="00942409">
        <w:rPr>
          <w:rFonts w:ascii="Times New Roman" w:hAnsi="Times New Roman"/>
          <w:color w:val="000000"/>
          <w:sz w:val="24"/>
          <w:szCs w:val="24"/>
        </w:rPr>
        <w:t>Şirketinin ilişikteki</w:t>
      </w:r>
      <w:r>
        <w:rPr>
          <w:rFonts w:ascii="Times New Roman" w:hAnsi="Times New Roman"/>
          <w:color w:val="000000"/>
          <w:sz w:val="24"/>
          <w:szCs w:val="24"/>
        </w:rPr>
        <w:t>,</w:t>
      </w:r>
      <w:r w:rsidRPr="00942409">
        <w:rPr>
          <w:rFonts w:ascii="Times New Roman" w:hAnsi="Times New Roman"/>
          <w:color w:val="000000"/>
          <w:sz w:val="24"/>
          <w:szCs w:val="24"/>
        </w:rPr>
        <w:t xml:space="preserve"> 31 Aralık 20X1 tarihli “gerçekleşmiş ancak rapor edilmemiş” hasarlara ilişkin yükümlülüğüne ait </w:t>
      </w:r>
      <w:r w:rsidRPr="0099660E">
        <w:rPr>
          <w:rFonts w:ascii="Times New Roman" w:hAnsi="Times New Roman"/>
          <w:color w:val="000000"/>
          <w:sz w:val="24"/>
          <w:szCs w:val="24"/>
        </w:rPr>
        <w:t>tabloyu (“bu tablo”) denetlemiş</w:t>
      </w:r>
      <w:r w:rsidRPr="00942409">
        <w:rPr>
          <w:rFonts w:ascii="Times New Roman" w:hAnsi="Times New Roman"/>
          <w:color w:val="000000"/>
          <w:sz w:val="24"/>
          <w:szCs w:val="24"/>
        </w:rPr>
        <w:t xml:space="preserve"> bulunuyoruz. Bu tablo, yönetim tarafından [düzenleyici kurum tarafından </w:t>
      </w:r>
      <w:r>
        <w:rPr>
          <w:rFonts w:ascii="Times New Roman" w:hAnsi="Times New Roman"/>
          <w:color w:val="000000"/>
          <w:sz w:val="24"/>
          <w:szCs w:val="24"/>
        </w:rPr>
        <w:t>oluşturulan</w:t>
      </w:r>
      <w:r w:rsidRPr="00942409">
        <w:rPr>
          <w:rFonts w:ascii="Times New Roman" w:hAnsi="Times New Roman"/>
          <w:color w:val="000000"/>
          <w:sz w:val="24"/>
          <w:szCs w:val="24"/>
        </w:rPr>
        <w:t xml:space="preserve"> finansal raporlama hükümlerini belirtiniz] esas</w:t>
      </w:r>
      <w:r>
        <w:rPr>
          <w:rFonts w:ascii="Times New Roman" w:hAnsi="Times New Roman"/>
          <w:color w:val="000000"/>
          <w:sz w:val="24"/>
          <w:szCs w:val="24"/>
        </w:rPr>
        <w:t xml:space="preserve"> alınarak </w:t>
      </w:r>
      <w:r w:rsidRPr="00942409">
        <w:rPr>
          <w:rFonts w:ascii="Times New Roman" w:hAnsi="Times New Roman"/>
          <w:color w:val="000000"/>
          <w:sz w:val="24"/>
          <w:szCs w:val="24"/>
        </w:rPr>
        <w:t>hazırla</w:t>
      </w:r>
      <w:r>
        <w:rPr>
          <w:rFonts w:ascii="Times New Roman" w:hAnsi="Times New Roman"/>
          <w:color w:val="000000"/>
          <w:sz w:val="24"/>
          <w:szCs w:val="24"/>
        </w:rPr>
        <w:t>n</w:t>
      </w:r>
      <w:r w:rsidRPr="00942409">
        <w:rPr>
          <w:rFonts w:ascii="Times New Roman" w:hAnsi="Times New Roman"/>
          <w:color w:val="000000"/>
          <w:sz w:val="24"/>
          <w:szCs w:val="24"/>
        </w:rPr>
        <w:t>mıştır.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sz w:val="24"/>
          <w:szCs w:val="24"/>
        </w:rPr>
        <w:t>Yönetimin</w:t>
      </w:r>
      <w:r w:rsidRPr="00942409">
        <w:rPr>
          <w:rFonts w:ascii="Times New Roman" w:hAnsi="Times New Roman"/>
          <w:sz w:val="24"/>
          <w:szCs w:val="24"/>
          <w:vertAlign w:val="superscript"/>
        </w:rPr>
        <w:footnoteReference w:customMarkFollows="1" w:id="29"/>
        <w:t>6</w:t>
      </w:r>
      <w:r w:rsidRPr="00942409">
        <w:rPr>
          <w:rFonts w:ascii="Times New Roman" w:hAnsi="Times New Roman"/>
          <w:b/>
          <w:sz w:val="24"/>
          <w:szCs w:val="24"/>
        </w:rPr>
        <w:t xml:space="preserve"> </w:t>
      </w:r>
      <w:r>
        <w:rPr>
          <w:rFonts w:ascii="Times New Roman" w:hAnsi="Times New Roman"/>
          <w:b/>
          <w:sz w:val="24"/>
          <w:szCs w:val="24"/>
        </w:rPr>
        <w:t xml:space="preserve">Bu </w:t>
      </w:r>
      <w:r w:rsidRPr="00942409">
        <w:rPr>
          <w:rFonts w:ascii="Times New Roman" w:hAnsi="Times New Roman"/>
          <w:b/>
          <w:sz w:val="24"/>
          <w:szCs w:val="24"/>
        </w:rPr>
        <w:t>Tabloya İlişkin Sorumluluğu</w:t>
      </w:r>
    </w:p>
    <w:p w:rsidR="00285C13" w:rsidRPr="00374FBB" w:rsidRDefault="00285C13" w:rsidP="009E0269">
      <w:pPr>
        <w:spacing w:before="120" w:after="120" w:line="276" w:lineRule="auto"/>
        <w:jc w:val="both"/>
        <w:rPr>
          <w:rFonts w:ascii="Times New Roman" w:hAnsi="Times New Roman"/>
          <w:color w:val="000000"/>
          <w:sz w:val="24"/>
          <w:szCs w:val="24"/>
        </w:rPr>
      </w:pPr>
      <w:r w:rsidRPr="00942409">
        <w:rPr>
          <w:rFonts w:ascii="Times New Roman" w:hAnsi="Times New Roman"/>
          <w:color w:val="000000"/>
          <w:sz w:val="24"/>
          <w:szCs w:val="24"/>
        </w:rPr>
        <w:t>Şirket yönetimi</w:t>
      </w:r>
      <w:r>
        <w:rPr>
          <w:rFonts w:ascii="Times New Roman" w:hAnsi="Times New Roman"/>
          <w:color w:val="000000"/>
          <w:sz w:val="24"/>
          <w:szCs w:val="24"/>
        </w:rPr>
        <w:t>;</w:t>
      </w:r>
      <w:r w:rsidRPr="00942409">
        <w:rPr>
          <w:rFonts w:ascii="Times New Roman" w:hAnsi="Times New Roman"/>
          <w:color w:val="000000"/>
          <w:sz w:val="24"/>
          <w:szCs w:val="24"/>
        </w:rPr>
        <w:t xml:space="preserve"> bu tablonun [düzenleyici kurum tarafından </w:t>
      </w:r>
      <w:r>
        <w:rPr>
          <w:rFonts w:ascii="Times New Roman" w:hAnsi="Times New Roman"/>
          <w:color w:val="000000"/>
          <w:sz w:val="24"/>
          <w:szCs w:val="24"/>
        </w:rPr>
        <w:t>oluşturulan</w:t>
      </w:r>
      <w:r w:rsidRPr="00942409">
        <w:rPr>
          <w:rFonts w:ascii="Times New Roman" w:hAnsi="Times New Roman"/>
          <w:color w:val="000000"/>
          <w:sz w:val="24"/>
          <w:szCs w:val="24"/>
        </w:rPr>
        <w:t xml:space="preserve"> finansal raporlama hükümlerini belirtiniz]e uygun olarak hazırlanmasından ve </w:t>
      </w:r>
      <w:r w:rsidRPr="009A3491">
        <w:rPr>
          <w:rFonts w:ascii="Times New Roman" w:hAnsi="Times New Roman"/>
          <w:color w:val="000000"/>
          <w:sz w:val="24"/>
          <w:szCs w:val="24"/>
        </w:rPr>
        <w:t>hata veya hile kaynaklı önemli yanlışlık içermeyen finansal tablo</w:t>
      </w:r>
      <w:r w:rsidRPr="00F965DA">
        <w:rPr>
          <w:rFonts w:ascii="Times New Roman" w:hAnsi="Times New Roman"/>
          <w:color w:val="000000"/>
          <w:sz w:val="24"/>
          <w:szCs w:val="24"/>
        </w:rPr>
        <w:t>nun</w:t>
      </w:r>
      <w:r w:rsidRPr="00B80D52">
        <w:rPr>
          <w:rFonts w:ascii="Times New Roman" w:hAnsi="Times New Roman"/>
          <w:color w:val="000000"/>
          <w:sz w:val="24"/>
          <w:szCs w:val="24"/>
        </w:rPr>
        <w:t xml:space="preserve"> hazırlanması için gerekli gördüğü iç kontrolden sorumludur.</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Bağımsız Denetçinin Sorumluluğu</w:t>
      </w:r>
    </w:p>
    <w:p w:rsidR="00285C13" w:rsidRPr="00550CD8" w:rsidRDefault="00285C13" w:rsidP="009E0269">
      <w:pPr>
        <w:spacing w:before="120" w:after="120" w:line="276" w:lineRule="auto"/>
        <w:jc w:val="both"/>
        <w:rPr>
          <w:rFonts w:ascii="Times New Roman" w:hAnsi="Times New Roman"/>
          <w:color w:val="000000"/>
          <w:sz w:val="24"/>
          <w:szCs w:val="24"/>
        </w:rPr>
      </w:pPr>
      <w:r w:rsidRPr="009A3491">
        <w:rPr>
          <w:rFonts w:ascii="Times New Roman" w:hAnsi="Times New Roman"/>
          <w:color w:val="000000"/>
          <w:sz w:val="24"/>
        </w:rPr>
        <w:t>Sorumluluğumuz</w:t>
      </w:r>
      <w:r w:rsidRPr="00F965DA">
        <w:rPr>
          <w:rFonts w:ascii="Times New Roman" w:hAnsi="Times New Roman"/>
          <w:color w:val="000000"/>
          <w:sz w:val="24"/>
        </w:rPr>
        <w:t>,</w:t>
      </w:r>
      <w:r w:rsidRPr="00B80D52">
        <w:rPr>
          <w:rFonts w:ascii="Times New Roman" w:hAnsi="Times New Roman"/>
          <w:color w:val="000000"/>
          <w:sz w:val="24"/>
        </w:rPr>
        <w:t xml:space="preserve"> yaptığımız bağımsız denetime dayanarak</w:t>
      </w:r>
      <w:r w:rsidRPr="00374FBB">
        <w:rPr>
          <w:rFonts w:ascii="Times New Roman" w:hAnsi="Times New Roman"/>
          <w:color w:val="000000"/>
          <w:sz w:val="24"/>
        </w:rPr>
        <w:t>,</w:t>
      </w:r>
      <w:r w:rsidRPr="00394E75">
        <w:rPr>
          <w:rFonts w:ascii="Times New Roman" w:hAnsi="Times New Roman"/>
          <w:color w:val="000000"/>
          <w:sz w:val="24"/>
        </w:rPr>
        <w:t xml:space="preserve"> bu tablo hakkında görüş vermektir. </w:t>
      </w:r>
      <w:r w:rsidRPr="00492C5F">
        <w:rPr>
          <w:rFonts w:ascii="Times New Roman" w:hAnsi="Times New Roman"/>
          <w:color w:val="000000"/>
          <w:sz w:val="24"/>
          <w:szCs w:val="24"/>
        </w:rPr>
        <w:t xml:space="preserve">Yaptığımız bağımsız denetim, Kamu Gözetimi, Muhasebe ve Denetim Standartları Kurumu tarafından yayımlanan Türkiye Denetim Standartlarının bir parçası olan Bağımsız Denetim Standartlarına uygun olarak yürütülmüştür. </w:t>
      </w:r>
      <w:r w:rsidRPr="00EA10A0">
        <w:rPr>
          <w:rFonts w:ascii="Times New Roman" w:hAnsi="Times New Roman"/>
          <w:color w:val="000000"/>
          <w:sz w:val="24"/>
        </w:rPr>
        <w:t>Bu standartlar, e</w:t>
      </w:r>
      <w:r w:rsidRPr="00B05C25">
        <w:rPr>
          <w:rFonts w:ascii="Times New Roman" w:hAnsi="Times New Roman"/>
          <w:color w:val="000000"/>
          <w:sz w:val="24"/>
        </w:rPr>
        <w:t xml:space="preserve">tik </w:t>
      </w:r>
      <w:r w:rsidRPr="00550CD8">
        <w:rPr>
          <w:rFonts w:ascii="Times New Roman" w:hAnsi="Times New Roman"/>
          <w:color w:val="000000"/>
          <w:sz w:val="24"/>
          <w:szCs w:val="24"/>
        </w:rPr>
        <w:t>hükümlere uygunluk sağlanmasını ve bağımsız denetimin</w:t>
      </w:r>
      <w:r w:rsidRPr="00550CD8">
        <w:rPr>
          <w:rFonts w:ascii="Times New Roman" w:hAnsi="Times New Roman"/>
          <w:color w:val="000000"/>
          <w:sz w:val="24"/>
        </w:rPr>
        <w:t xml:space="preserve">, bu tablonun </w:t>
      </w:r>
      <w:r w:rsidRPr="00550CD8">
        <w:rPr>
          <w:rFonts w:ascii="Times New Roman" w:hAnsi="Times New Roman"/>
          <w:color w:val="000000"/>
          <w:sz w:val="24"/>
          <w:szCs w:val="24"/>
        </w:rPr>
        <w:t>önemli yanlışlık içerip içermediğine dair makul güvence elde etmek üzere planlanarak yürütülmesini gerektirmektedir.</w:t>
      </w:r>
    </w:p>
    <w:p w:rsidR="00285C13" w:rsidRPr="00550CD8" w:rsidRDefault="00285C13" w:rsidP="009E0269">
      <w:pPr>
        <w:spacing w:before="120" w:after="120" w:line="276" w:lineRule="auto"/>
        <w:jc w:val="both"/>
        <w:rPr>
          <w:rFonts w:ascii="Times New Roman" w:hAnsi="Times New Roman"/>
          <w:color w:val="000000"/>
          <w:sz w:val="24"/>
          <w:szCs w:val="24"/>
        </w:rPr>
      </w:pPr>
      <w:r w:rsidRPr="00550CD8">
        <w:rPr>
          <w:rFonts w:ascii="Times New Roman" w:hAnsi="Times New Roman"/>
          <w:color w:val="000000"/>
          <w:sz w:val="24"/>
        </w:rPr>
        <w:t xml:space="preserve">Bağımsız denetim, bu tablodaki tutar ve açıklamalar hakkında denetim kanıtı elde etmek amacıyla denetim prosedürlerinin uygulanmasını </w:t>
      </w:r>
      <w:r w:rsidRPr="00550CD8">
        <w:rPr>
          <w:rFonts w:ascii="Times New Roman" w:hAnsi="Times New Roman"/>
          <w:color w:val="000000"/>
          <w:sz w:val="24"/>
          <w:szCs w:val="24"/>
        </w:rPr>
        <w:t xml:space="preserve">içerir. Bu prosedürlerin seçimi, </w:t>
      </w:r>
      <w:r w:rsidRPr="00550CD8">
        <w:rPr>
          <w:rFonts w:ascii="Times New Roman" w:hAnsi="Times New Roman"/>
          <w:color w:val="000000"/>
          <w:sz w:val="24"/>
        </w:rPr>
        <w:t xml:space="preserve">bu tablodaki hata veya hile kaynaklı </w:t>
      </w:r>
      <w:r w:rsidRPr="00550CD8">
        <w:rPr>
          <w:rFonts w:ascii="Times New Roman" w:hAnsi="Times New Roman"/>
          <w:color w:val="000000"/>
          <w:sz w:val="24"/>
          <w:szCs w:val="24"/>
        </w:rPr>
        <w:t>“önemli yanlışlık” risklerinin değerlendirilmesi de dâhil, bağımsız denetçinin mesleki muhakemesine dayanır.</w:t>
      </w:r>
      <w:r w:rsidRPr="00550CD8">
        <w:rPr>
          <w:rFonts w:ascii="Times New Roman" w:hAnsi="Times New Roman"/>
          <w:color w:val="000000"/>
          <w:sz w:val="24"/>
        </w:rPr>
        <w:t xml:space="preserve"> </w:t>
      </w:r>
      <w:r w:rsidRPr="00550CD8">
        <w:rPr>
          <w:rFonts w:ascii="Times New Roman" w:hAnsi="Times New Roman"/>
          <w:color w:val="000000"/>
          <w:sz w:val="24"/>
          <w:szCs w:val="24"/>
        </w:rPr>
        <w:t xml:space="preserve">Bağımsız </w:t>
      </w:r>
      <w:r w:rsidRPr="00550CD8">
        <w:rPr>
          <w:rFonts w:ascii="Times New Roman" w:hAnsi="Times New Roman"/>
          <w:color w:val="000000"/>
          <w:sz w:val="24"/>
        </w:rPr>
        <w:t xml:space="preserve">denetçi, </w:t>
      </w:r>
      <w:r w:rsidRPr="00942409">
        <w:rPr>
          <w:rFonts w:ascii="Times New Roman" w:hAnsi="Times New Roman"/>
          <w:color w:val="000000"/>
          <w:sz w:val="24"/>
          <w:szCs w:val="24"/>
        </w:rPr>
        <w:t xml:space="preserve">risk değerlendirmelerini yaparken, şartlara uygun denetim prosedürlerini tasarlamak amacıyla, </w:t>
      </w:r>
      <w:r w:rsidRPr="009A3491">
        <w:rPr>
          <w:rFonts w:ascii="Times New Roman" w:hAnsi="Times New Roman"/>
          <w:color w:val="000000"/>
          <w:sz w:val="24"/>
        </w:rPr>
        <w:t>işletmeye ait bu tablonun hazırlanması</w:t>
      </w:r>
      <w:r w:rsidRPr="00F965DA">
        <w:rPr>
          <w:rFonts w:ascii="Times New Roman" w:hAnsi="Times New Roman"/>
          <w:color w:val="000000"/>
          <w:sz w:val="24"/>
        </w:rPr>
        <w:t xml:space="preserve">yla ilgili </w:t>
      </w:r>
      <w:r w:rsidRPr="00B80D52">
        <w:rPr>
          <w:rFonts w:ascii="Times New Roman" w:hAnsi="Times New Roman"/>
          <w:sz w:val="24"/>
          <w:szCs w:val="24"/>
        </w:rPr>
        <w:t xml:space="preserve">iç kontrolü değerlendirir, </w:t>
      </w:r>
      <w:r w:rsidRPr="00942409">
        <w:rPr>
          <w:rFonts w:ascii="Times New Roman" w:hAnsi="Times New Roman"/>
          <w:color w:val="000000"/>
          <w:sz w:val="24"/>
          <w:szCs w:val="24"/>
        </w:rPr>
        <w:t>ancak bu değerlendirme, işletmenin iç kontrolünün etkinliğine ilişkin bir görüş verme amacı taşımaz</w:t>
      </w:r>
      <w:r w:rsidRPr="009A3491">
        <w:rPr>
          <w:rFonts w:ascii="Times New Roman" w:hAnsi="Times New Roman"/>
          <w:color w:val="000000"/>
          <w:sz w:val="24"/>
        </w:rPr>
        <w:t>. Bağımsız</w:t>
      </w:r>
      <w:r w:rsidRPr="00F965DA">
        <w:rPr>
          <w:rFonts w:ascii="Times New Roman" w:hAnsi="Times New Roman"/>
          <w:color w:val="000000"/>
          <w:sz w:val="24"/>
        </w:rPr>
        <w:t xml:space="preserve"> denetim, </w:t>
      </w:r>
      <w:r w:rsidRPr="00B80D52">
        <w:rPr>
          <w:rFonts w:ascii="Times New Roman" w:hAnsi="Times New Roman"/>
          <w:color w:val="000000"/>
          <w:sz w:val="24"/>
        </w:rPr>
        <w:t xml:space="preserve">bir bütün olarak bu </w:t>
      </w:r>
      <w:r w:rsidRPr="00374FBB">
        <w:rPr>
          <w:rFonts w:ascii="Times New Roman" w:hAnsi="Times New Roman"/>
          <w:color w:val="000000"/>
          <w:sz w:val="24"/>
        </w:rPr>
        <w:t>tablonu</w:t>
      </w:r>
      <w:r w:rsidRPr="00394E75">
        <w:rPr>
          <w:rFonts w:ascii="Times New Roman" w:hAnsi="Times New Roman"/>
          <w:color w:val="000000"/>
          <w:sz w:val="24"/>
        </w:rPr>
        <w:t>n sunumunun değerlendirilmesinin yanı sıra, işletme yönetimi tarafından kullanılan muhasebe politikaları</w:t>
      </w:r>
      <w:r w:rsidRPr="00492C5F">
        <w:rPr>
          <w:rFonts w:ascii="Times New Roman" w:hAnsi="Times New Roman"/>
          <w:color w:val="000000"/>
          <w:sz w:val="24"/>
        </w:rPr>
        <w:t>nın</w:t>
      </w:r>
      <w:r w:rsidRPr="00EA10A0">
        <w:rPr>
          <w:rFonts w:ascii="Times New Roman" w:hAnsi="Times New Roman"/>
          <w:color w:val="000000"/>
          <w:sz w:val="24"/>
        </w:rPr>
        <w:t xml:space="preserve"> </w:t>
      </w:r>
      <w:r w:rsidRPr="00B05C25">
        <w:rPr>
          <w:rFonts w:ascii="Times New Roman" w:hAnsi="Times New Roman"/>
          <w:color w:val="000000"/>
          <w:sz w:val="24"/>
          <w:szCs w:val="24"/>
        </w:rPr>
        <w:t>uygunluğunun ve yapılan muhasebe tahminlerinin makul olup olmadığının değerlendirilmesini de içerir.</w:t>
      </w:r>
    </w:p>
    <w:p w:rsidR="00285C13" w:rsidRPr="00550CD8" w:rsidRDefault="00285C13" w:rsidP="009E0269">
      <w:pPr>
        <w:autoSpaceDE w:val="0"/>
        <w:autoSpaceDN w:val="0"/>
        <w:adjustRightInd w:val="0"/>
        <w:spacing w:before="120" w:after="120" w:line="276" w:lineRule="auto"/>
        <w:jc w:val="both"/>
        <w:rPr>
          <w:rFonts w:ascii="Times New Roman" w:hAnsi="Times New Roman"/>
          <w:color w:val="000000"/>
          <w:sz w:val="24"/>
        </w:rPr>
      </w:pPr>
      <w:r w:rsidRPr="00550CD8">
        <w:rPr>
          <w:rFonts w:ascii="Times New Roman" w:hAnsi="Times New Roman"/>
          <w:color w:val="000000"/>
          <w:sz w:val="24"/>
        </w:rPr>
        <w:t>Bağımsız denetim sırasında elde ettiğimiz denetim kanıtlarının, görüşümüzün oluşturulması için yeterli ve uygun bir dayanak oluşturduğuna inanıyoruz.</w:t>
      </w:r>
    </w:p>
    <w:p w:rsidR="00285C13" w:rsidRPr="00942409" w:rsidRDefault="00285C13" w:rsidP="009E0269">
      <w:pPr>
        <w:tabs>
          <w:tab w:val="center" w:pos="4536"/>
        </w:tabs>
        <w:autoSpaceDE w:val="0"/>
        <w:autoSpaceDN w:val="0"/>
        <w:adjustRightInd w:val="0"/>
        <w:spacing w:before="120" w:after="120" w:line="276" w:lineRule="auto"/>
        <w:ind w:right="142"/>
        <w:jc w:val="both"/>
        <w:rPr>
          <w:rFonts w:ascii="Times New Roman" w:hAnsi="Times New Roman"/>
          <w:b/>
          <w:bCs/>
          <w:color w:val="000000"/>
          <w:sz w:val="24"/>
          <w:szCs w:val="24"/>
        </w:rPr>
      </w:pPr>
      <w:r w:rsidRPr="00942409">
        <w:rPr>
          <w:rFonts w:ascii="Times New Roman" w:hAnsi="Times New Roman"/>
          <w:b/>
          <w:color w:val="000000"/>
          <w:sz w:val="24"/>
          <w:szCs w:val="24"/>
        </w:rPr>
        <w:t>Görüş</w:t>
      </w:r>
      <w:r w:rsidRPr="00942409">
        <w:rPr>
          <w:rFonts w:ascii="Times New Roman" w:hAnsi="Times New Roman"/>
          <w:b/>
          <w:color w:val="000000"/>
          <w:sz w:val="24"/>
          <w:szCs w:val="24"/>
        </w:rPr>
        <w:tab/>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 xml:space="preserve">Görüşümüze göre, ABC Sigorta Şirketinin 31 Aralık 20X1 tarihi itibarıyla “gerçekleşmiş ancak rapor edilmemiş” hasarlara ilişin </w:t>
      </w:r>
      <w:r>
        <w:rPr>
          <w:rFonts w:ascii="Times New Roman" w:hAnsi="Times New Roman"/>
          <w:color w:val="000000"/>
          <w:sz w:val="24"/>
          <w:szCs w:val="24"/>
        </w:rPr>
        <w:t xml:space="preserve">yükümlülüğüne </w:t>
      </w:r>
      <w:r w:rsidRPr="00942409">
        <w:rPr>
          <w:rFonts w:ascii="Times New Roman" w:hAnsi="Times New Roman"/>
          <w:color w:val="000000"/>
          <w:sz w:val="24"/>
          <w:szCs w:val="24"/>
        </w:rPr>
        <w:t xml:space="preserve">ait </w:t>
      </w:r>
      <w:r>
        <w:rPr>
          <w:rFonts w:ascii="Times New Roman" w:hAnsi="Times New Roman"/>
          <w:color w:val="000000"/>
          <w:sz w:val="24"/>
          <w:szCs w:val="24"/>
        </w:rPr>
        <w:t xml:space="preserve">bu </w:t>
      </w:r>
      <w:r w:rsidRPr="00942409">
        <w:rPr>
          <w:rFonts w:ascii="Times New Roman" w:hAnsi="Times New Roman"/>
          <w:color w:val="000000"/>
          <w:sz w:val="24"/>
          <w:szCs w:val="24"/>
        </w:rPr>
        <w:t>tabloda yer alan finansal bilgiler, tüm önemli yönleriyle [düzenleyici kurumun belirlediği finansal raporlama hükümlerini belirtiniz]’ne uygun olarak hazırlanmıştır.</w:t>
      </w:r>
    </w:p>
    <w:p w:rsidR="00285C13" w:rsidRPr="00F965DA" w:rsidRDefault="00285C13" w:rsidP="009E0269">
      <w:pPr>
        <w:autoSpaceDE w:val="0"/>
        <w:autoSpaceDN w:val="0"/>
        <w:adjustRightInd w:val="0"/>
        <w:spacing w:before="120" w:after="120" w:line="276" w:lineRule="auto"/>
        <w:jc w:val="both"/>
        <w:rPr>
          <w:rFonts w:ascii="Times New Roman" w:hAnsi="Times New Roman"/>
          <w:color w:val="000000"/>
          <w:sz w:val="24"/>
        </w:rPr>
      </w:pPr>
      <w:r w:rsidRPr="009A3491">
        <w:rPr>
          <w:rFonts w:ascii="Times New Roman" w:hAnsi="Times New Roman"/>
          <w:b/>
          <w:color w:val="000000"/>
          <w:sz w:val="24"/>
        </w:rPr>
        <w:t>Muhasebe Esas</w:t>
      </w:r>
      <w:r>
        <w:rPr>
          <w:rFonts w:ascii="Times New Roman" w:hAnsi="Times New Roman"/>
          <w:b/>
          <w:color w:val="000000"/>
          <w:sz w:val="24"/>
        </w:rPr>
        <w:t xml:space="preserve">ı </w:t>
      </w:r>
      <w:r w:rsidRPr="00F965DA">
        <w:rPr>
          <w:rFonts w:ascii="Times New Roman" w:hAnsi="Times New Roman"/>
          <w:b/>
          <w:color w:val="000000"/>
          <w:sz w:val="24"/>
        </w:rPr>
        <w:t>ile Dağıtımın</w:t>
      </w:r>
      <w:r w:rsidRPr="00B80D52">
        <w:rPr>
          <w:rFonts w:ascii="Times New Roman" w:hAnsi="Times New Roman"/>
          <w:b/>
          <w:color w:val="000000"/>
          <w:sz w:val="24"/>
        </w:rPr>
        <w:t xml:space="preserve"> </w:t>
      </w:r>
      <w:r w:rsidRPr="009A3491">
        <w:rPr>
          <w:rFonts w:ascii="Times New Roman" w:hAnsi="Times New Roman"/>
          <w:b/>
          <w:color w:val="000000"/>
          <w:sz w:val="24"/>
        </w:rPr>
        <w:t xml:space="preserve">ve Kullanımın </w:t>
      </w:r>
      <w:r>
        <w:rPr>
          <w:rFonts w:ascii="Times New Roman" w:hAnsi="Times New Roman"/>
          <w:b/>
          <w:color w:val="000000"/>
          <w:sz w:val="24"/>
        </w:rPr>
        <w:t>Sınırlandırılması</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Görüşümüzü etkilememekle birlikte, bu tablonun</w:t>
      </w:r>
      <w:r>
        <w:rPr>
          <w:rFonts w:ascii="Times New Roman" w:hAnsi="Times New Roman"/>
          <w:color w:val="000000"/>
          <w:sz w:val="24"/>
          <w:szCs w:val="24"/>
        </w:rPr>
        <w:t>,</w:t>
      </w:r>
      <w:r w:rsidRPr="00942409">
        <w:rPr>
          <w:rFonts w:ascii="Times New Roman" w:hAnsi="Times New Roman"/>
          <w:color w:val="000000"/>
          <w:sz w:val="24"/>
          <w:szCs w:val="24"/>
        </w:rPr>
        <w:t xml:space="preserve"> muhasebe esas</w:t>
      </w:r>
      <w:r>
        <w:rPr>
          <w:rFonts w:ascii="Times New Roman" w:hAnsi="Times New Roman"/>
          <w:color w:val="000000"/>
          <w:sz w:val="24"/>
          <w:szCs w:val="24"/>
        </w:rPr>
        <w:t>ını</w:t>
      </w:r>
      <w:r w:rsidRPr="00942409">
        <w:rPr>
          <w:rFonts w:ascii="Times New Roman" w:hAnsi="Times New Roman"/>
          <w:color w:val="000000"/>
          <w:sz w:val="24"/>
          <w:szCs w:val="24"/>
        </w:rPr>
        <w:t xml:space="preserve"> açıkla</w:t>
      </w:r>
      <w:r>
        <w:rPr>
          <w:rFonts w:ascii="Times New Roman" w:hAnsi="Times New Roman"/>
          <w:color w:val="000000"/>
          <w:sz w:val="24"/>
          <w:szCs w:val="24"/>
        </w:rPr>
        <w:t xml:space="preserve">yan </w:t>
      </w:r>
      <w:r w:rsidRPr="00942409">
        <w:rPr>
          <w:rFonts w:ascii="Times New Roman" w:hAnsi="Times New Roman"/>
          <w:color w:val="000000"/>
          <w:sz w:val="24"/>
          <w:szCs w:val="24"/>
        </w:rPr>
        <w:t xml:space="preserve">X dipnotuna dikkat çekeriz. Bu tablo, ABC Sigorta Şirketinin, DEF </w:t>
      </w:r>
      <w:r>
        <w:rPr>
          <w:rFonts w:ascii="Times New Roman" w:hAnsi="Times New Roman"/>
          <w:color w:val="000000"/>
          <w:sz w:val="24"/>
          <w:szCs w:val="24"/>
        </w:rPr>
        <w:t xml:space="preserve">Düzenleyici </w:t>
      </w:r>
      <w:r w:rsidRPr="00942409">
        <w:rPr>
          <w:rFonts w:ascii="Times New Roman" w:hAnsi="Times New Roman"/>
          <w:color w:val="000000"/>
          <w:sz w:val="24"/>
          <w:szCs w:val="24"/>
        </w:rPr>
        <w:t>Kurumu</w:t>
      </w:r>
      <w:r>
        <w:rPr>
          <w:rFonts w:ascii="Times New Roman" w:hAnsi="Times New Roman"/>
          <w:color w:val="000000"/>
          <w:sz w:val="24"/>
          <w:szCs w:val="24"/>
        </w:rPr>
        <w:t xml:space="preserve"> tarafından getirilen</w:t>
      </w:r>
      <w:r w:rsidRPr="00942409">
        <w:rPr>
          <w:rFonts w:ascii="Times New Roman" w:hAnsi="Times New Roman"/>
          <w:color w:val="000000"/>
          <w:sz w:val="24"/>
          <w:szCs w:val="24"/>
        </w:rPr>
        <w:t xml:space="preserve"> </w:t>
      </w:r>
      <w:r>
        <w:rPr>
          <w:rFonts w:ascii="Times New Roman" w:hAnsi="Times New Roman"/>
          <w:color w:val="000000"/>
          <w:sz w:val="24"/>
          <w:szCs w:val="24"/>
        </w:rPr>
        <w:t>yükümlülükleri karşılamasında</w:t>
      </w:r>
      <w:r w:rsidRPr="00942409">
        <w:rPr>
          <w:rFonts w:ascii="Times New Roman" w:hAnsi="Times New Roman"/>
          <w:color w:val="000000"/>
          <w:sz w:val="24"/>
          <w:szCs w:val="24"/>
        </w:rPr>
        <w:t xml:space="preserve"> yardımcı olmak amacıyla hazırlanmıştır. </w:t>
      </w:r>
      <w:r>
        <w:rPr>
          <w:rFonts w:ascii="Times New Roman" w:hAnsi="Times New Roman"/>
          <w:color w:val="000000"/>
          <w:sz w:val="24"/>
          <w:szCs w:val="24"/>
        </w:rPr>
        <w:t>Bu sebeple</w:t>
      </w:r>
      <w:r w:rsidRPr="00942409">
        <w:rPr>
          <w:rFonts w:ascii="Times New Roman" w:hAnsi="Times New Roman"/>
          <w:color w:val="000000"/>
          <w:sz w:val="24"/>
          <w:szCs w:val="24"/>
        </w:rPr>
        <w:t xml:space="preserve">, bu tablo başka </w:t>
      </w:r>
      <w:r w:rsidRPr="00D629B4">
        <w:rPr>
          <w:rFonts w:ascii="Times New Roman" w:hAnsi="Times New Roman"/>
          <w:color w:val="000000"/>
          <w:sz w:val="24"/>
          <w:szCs w:val="24"/>
        </w:rPr>
        <w:t xml:space="preserve">amaçlar için uygun olmayabilir. Raporumuz yalnızca ABC Sigorta Şirketi ile DEF Kurumu için hazırlanmış olup, ABC Sigorta Şirketi veya DEF Düzenleyici Kurumu dışındaki </w:t>
      </w:r>
      <w:r w:rsidRPr="009E0269">
        <w:rPr>
          <w:rFonts w:ascii="Times New Roman" w:hAnsi="Times New Roman"/>
          <w:color w:val="000000"/>
          <w:sz w:val="24"/>
          <w:szCs w:val="24"/>
        </w:rPr>
        <w:t>taraflara dağıtıl</w:t>
      </w:r>
      <w:r w:rsidRPr="00D629B4">
        <w:rPr>
          <w:rFonts w:ascii="Times New Roman" w:hAnsi="Times New Roman"/>
          <w:color w:val="000000"/>
          <w:sz w:val="24"/>
          <w:szCs w:val="24"/>
        </w:rPr>
        <w:t>amaz.</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[Bağımsız Denetçinin imzası]</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color w:val="000000"/>
          <w:sz w:val="24"/>
          <w:szCs w:val="24"/>
        </w:rPr>
      </w:pPr>
      <w:r w:rsidRPr="00942409">
        <w:rPr>
          <w:rFonts w:ascii="Times New Roman" w:hAnsi="Times New Roman"/>
          <w:color w:val="000000"/>
          <w:sz w:val="24"/>
          <w:szCs w:val="24"/>
        </w:rPr>
        <w:t>[Bağımsız Denetçi raporu tarihi]</w:t>
      </w:r>
    </w:p>
    <w:p w:rsidR="00285C13" w:rsidRPr="00942409" w:rsidRDefault="00285C13" w:rsidP="009E0269">
      <w:pPr>
        <w:autoSpaceDE w:val="0"/>
        <w:autoSpaceDN w:val="0"/>
        <w:adjustRightInd w:val="0"/>
        <w:spacing w:before="120" w:after="120" w:line="276" w:lineRule="auto"/>
        <w:ind w:right="142"/>
        <w:jc w:val="both"/>
        <w:rPr>
          <w:rFonts w:ascii="Times New Roman" w:hAnsi="Times New Roman"/>
          <w:sz w:val="24"/>
          <w:szCs w:val="24"/>
        </w:rPr>
      </w:pPr>
      <w:r w:rsidRPr="00942409">
        <w:rPr>
          <w:rFonts w:ascii="Times New Roman" w:hAnsi="Times New Roman"/>
          <w:color w:val="000000"/>
          <w:sz w:val="24"/>
          <w:szCs w:val="24"/>
        </w:rPr>
        <w:t>[Bağımsız Den</w:t>
      </w:r>
      <w:bookmarkStart w:id="0" w:name="_GoBack"/>
      <w:bookmarkEnd w:id="0"/>
      <w:r w:rsidRPr="00942409">
        <w:rPr>
          <w:rFonts w:ascii="Times New Roman" w:hAnsi="Times New Roman"/>
          <w:color w:val="000000"/>
          <w:sz w:val="24"/>
          <w:szCs w:val="24"/>
        </w:rPr>
        <w:t>etçinin adresi]</w:t>
      </w:r>
    </w:p>
    <w:sectPr w:rsidR="00285C13" w:rsidRPr="00942409" w:rsidSect="005B4E9A">
      <w:footnotePr>
        <w:numRestart w:val="eachSect"/>
      </w:footnotePr>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13" w:rsidRDefault="00285C13" w:rsidP="002D1D78">
      <w:r>
        <w:separator/>
      </w:r>
    </w:p>
  </w:endnote>
  <w:endnote w:type="continuationSeparator" w:id="0">
    <w:p w:rsidR="00285C13" w:rsidRDefault="00285C13" w:rsidP="002D1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Swift LT Pro">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13" w:rsidRPr="00455B5B" w:rsidRDefault="00285C13">
    <w:pPr>
      <w:pStyle w:val="Footer"/>
      <w:jc w:val="right"/>
      <w:rPr>
        <w:rFonts w:ascii="Times New Roman" w:hAnsi="Times New Roman"/>
      </w:rPr>
    </w:pPr>
    <w:r w:rsidRPr="00455B5B">
      <w:rPr>
        <w:rFonts w:ascii="Times New Roman" w:hAnsi="Times New Roman"/>
      </w:rPr>
      <w:fldChar w:fldCharType="begin"/>
    </w:r>
    <w:r w:rsidRPr="00455B5B">
      <w:rPr>
        <w:rFonts w:ascii="Times New Roman" w:hAnsi="Times New Roman"/>
      </w:rPr>
      <w:instrText>PAGE   \* MERGEFORMAT</w:instrText>
    </w:r>
    <w:r w:rsidRPr="00455B5B">
      <w:rPr>
        <w:rFonts w:ascii="Times New Roman" w:hAnsi="Times New Roman"/>
      </w:rPr>
      <w:fldChar w:fldCharType="separate"/>
    </w:r>
    <w:r>
      <w:rPr>
        <w:rFonts w:ascii="Times New Roman" w:hAnsi="Times New Roman"/>
        <w:noProof/>
      </w:rPr>
      <w:t>2</w:t>
    </w:r>
    <w:r w:rsidRPr="00455B5B">
      <w:rPr>
        <w:rFonts w:ascii="Times New Roman" w:hAnsi="Times New Roman"/>
      </w:rPr>
      <w:fldChar w:fldCharType="end"/>
    </w:r>
  </w:p>
  <w:p w:rsidR="00285C13" w:rsidRDefault="00285C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13" w:rsidRDefault="00285C13">
    <w:pPr>
      <w:pStyle w:val="Footer"/>
      <w:jc w:val="right"/>
    </w:pPr>
  </w:p>
  <w:p w:rsidR="00285C13" w:rsidRDefault="00285C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13" w:rsidRPr="009E0269" w:rsidRDefault="00285C13">
    <w:pPr>
      <w:pStyle w:val="Footer"/>
      <w:jc w:val="right"/>
      <w:rPr>
        <w:rFonts w:ascii="Times New Roman" w:hAnsi="Times New Roman"/>
      </w:rPr>
    </w:pPr>
    <w:r w:rsidRPr="009E0269">
      <w:rPr>
        <w:rFonts w:ascii="Times New Roman" w:hAnsi="Times New Roman"/>
      </w:rPr>
      <w:fldChar w:fldCharType="begin"/>
    </w:r>
    <w:r w:rsidRPr="009E0269">
      <w:rPr>
        <w:rFonts w:ascii="Times New Roman" w:hAnsi="Times New Roman"/>
      </w:rPr>
      <w:instrText>PAGE   \* MERGEFORMAT</w:instrText>
    </w:r>
    <w:r w:rsidRPr="009E0269">
      <w:rPr>
        <w:rFonts w:ascii="Times New Roman" w:hAnsi="Times New Roman"/>
      </w:rPr>
      <w:fldChar w:fldCharType="separate"/>
    </w:r>
    <w:r>
      <w:rPr>
        <w:rFonts w:ascii="Times New Roman" w:hAnsi="Times New Roman"/>
        <w:noProof/>
      </w:rPr>
      <w:t>22</w:t>
    </w:r>
    <w:r w:rsidRPr="009E0269">
      <w:rPr>
        <w:rFonts w:ascii="Times New Roman" w:hAnsi="Times New Roman"/>
      </w:rPr>
      <w:fldChar w:fldCharType="end"/>
    </w:r>
  </w:p>
  <w:p w:rsidR="00285C13" w:rsidRDefault="00285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13" w:rsidRDefault="00285C13" w:rsidP="002D1D78">
      <w:r>
        <w:separator/>
      </w:r>
    </w:p>
  </w:footnote>
  <w:footnote w:type="continuationSeparator" w:id="0">
    <w:p w:rsidR="00285C13" w:rsidRDefault="00285C13" w:rsidP="002D1D78">
      <w:r>
        <w:continuationSeparator/>
      </w:r>
    </w:p>
  </w:footnote>
  <w:footnote w:id="1">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800, “Özel Hususlar–Özel Amaçlı Çerçevelere Göre Hazırlanan Finansal Tabloların Bağımsız Denetimi”</w:t>
      </w:r>
    </w:p>
  </w:footnote>
  <w:footnote w:id="2">
    <w:p w:rsidR="00285C13" w:rsidRPr="00942409" w:rsidRDefault="00285C13" w:rsidP="00942409">
      <w:pPr>
        <w:pStyle w:val="FootnoteText"/>
        <w:jc w:val="both"/>
        <w:rPr>
          <w:rFonts w:ascii="Times New Roman" w:hAnsi="Times New Roman"/>
          <w:sz w:val="18"/>
          <w:szCs w:val="18"/>
        </w:rPr>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600, “Özel Hususlar–Topluluk Finansal Tablolarının Bağımsız Denetimi (Topluluğa Bağlı Birim Denetçilerinin Çalışmaları Dâhil)”</w:t>
      </w:r>
    </w:p>
    <w:p w:rsidR="00285C13" w:rsidRDefault="00285C13" w:rsidP="00942409">
      <w:pPr>
        <w:pStyle w:val="FootnoteText"/>
        <w:jc w:val="both"/>
      </w:pPr>
    </w:p>
  </w:footnote>
  <w:footnote w:id="3">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200, “Bağımsız Denetçinin Genel Amaçları ve Bağımsız Denetimin Bağımsız Denetim Standartlarına Uygun Olarak Yürütülmesi”, 18 inci paragraf</w:t>
      </w:r>
    </w:p>
  </w:footnote>
  <w:footnote w:id="4">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210, “Bağımsız Denetim Sözleşmesinin Şartları Üzerinde Anlaşmaya Varılması”, 6(a) paragrafı</w:t>
      </w:r>
    </w:p>
  </w:footnote>
  <w:footnote w:id="5">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210, 10(d) paragrafı</w:t>
      </w:r>
    </w:p>
  </w:footnote>
  <w:footnote w:id="6">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200, 2 nci paragraf</w:t>
      </w:r>
    </w:p>
  </w:footnote>
  <w:footnote w:id="7">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200</w:t>
      </w:r>
      <w:r>
        <w:rPr>
          <w:rFonts w:ascii="Times New Roman" w:hAnsi="Times New Roman"/>
          <w:sz w:val="18"/>
          <w:szCs w:val="18"/>
        </w:rPr>
        <w:t>’ün</w:t>
      </w:r>
      <w:r w:rsidRPr="00942409">
        <w:rPr>
          <w:rFonts w:ascii="Times New Roman" w:hAnsi="Times New Roman"/>
          <w:sz w:val="18"/>
          <w:szCs w:val="18"/>
        </w:rPr>
        <w:t xml:space="preserve"> 13</w:t>
      </w:r>
      <w:r>
        <w:rPr>
          <w:rFonts w:ascii="Times New Roman" w:hAnsi="Times New Roman"/>
          <w:sz w:val="18"/>
          <w:szCs w:val="18"/>
        </w:rPr>
        <w:t xml:space="preserve"> </w:t>
      </w:r>
      <w:r w:rsidRPr="00942409">
        <w:rPr>
          <w:rFonts w:ascii="Times New Roman" w:hAnsi="Times New Roman"/>
          <w:sz w:val="18"/>
          <w:szCs w:val="18"/>
        </w:rPr>
        <w:t>üncü paragraf</w:t>
      </w:r>
      <w:r>
        <w:rPr>
          <w:rFonts w:ascii="Times New Roman" w:hAnsi="Times New Roman"/>
          <w:sz w:val="18"/>
          <w:szCs w:val="18"/>
        </w:rPr>
        <w:t>ınd</w:t>
      </w:r>
      <w:r w:rsidRPr="00942409">
        <w:rPr>
          <w:rFonts w:ascii="Times New Roman" w:hAnsi="Times New Roman"/>
          <w:sz w:val="18"/>
          <w:szCs w:val="18"/>
        </w:rPr>
        <w:t xml:space="preserve">a yer alan “finansal tablolar” terimi, </w:t>
      </w:r>
      <w:r>
        <w:rPr>
          <w:rFonts w:ascii="Times New Roman" w:hAnsi="Times New Roman"/>
          <w:sz w:val="18"/>
          <w:szCs w:val="18"/>
        </w:rPr>
        <w:t xml:space="preserve">finansal tabloların </w:t>
      </w:r>
      <w:r w:rsidRPr="00942409">
        <w:rPr>
          <w:rFonts w:ascii="Times New Roman" w:hAnsi="Times New Roman"/>
          <w:sz w:val="18"/>
          <w:szCs w:val="18"/>
        </w:rPr>
        <w:t>geçerli finansal raporlama çerçevesi uyarınca belirlenen tam bir finansal tablolar setini ifade ettiğini açıklamaktadır.</w:t>
      </w:r>
    </w:p>
  </w:footnote>
  <w:footnote w:id="8">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700, “Finansal Tablolara İlişkin Görüş Oluşturma ve Raporlama”</w:t>
      </w:r>
    </w:p>
  </w:footnote>
  <w:footnote w:id="9">
    <w:p w:rsidR="00285C13" w:rsidRPr="00F85A23" w:rsidRDefault="00285C13" w:rsidP="00942409">
      <w:pPr>
        <w:pStyle w:val="FootnoteText"/>
        <w:jc w:val="both"/>
        <w:rPr>
          <w:rFonts w:ascii="Times New Roman" w:hAnsi="Times New Roman"/>
          <w:sz w:val="18"/>
          <w:szCs w:val="18"/>
        </w:rPr>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705, “Bağımsız Denetçi Raporunda Olumlu Görüş Dışında Bir Görüş Verilmesi”, 15 inci paragraf</w:t>
      </w:r>
    </w:p>
    <w:p w:rsidR="00285C13" w:rsidRDefault="00285C13" w:rsidP="00942409">
      <w:pPr>
        <w:pStyle w:val="FootnoteText"/>
        <w:jc w:val="both"/>
      </w:pPr>
    </w:p>
  </w:footnote>
  <w:footnote w:id="10">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200</w:t>
      </w:r>
      <w:r>
        <w:rPr>
          <w:rFonts w:ascii="Times New Roman" w:hAnsi="Times New Roman"/>
          <w:sz w:val="18"/>
          <w:szCs w:val="18"/>
        </w:rPr>
        <w:t>’ün</w:t>
      </w:r>
      <w:r w:rsidRPr="00942409">
        <w:rPr>
          <w:rFonts w:ascii="Times New Roman" w:hAnsi="Times New Roman"/>
          <w:sz w:val="18"/>
          <w:szCs w:val="18"/>
        </w:rPr>
        <w:t xml:space="preserve"> 13 üncü paragraf</w:t>
      </w:r>
      <w:r>
        <w:rPr>
          <w:rFonts w:ascii="Times New Roman" w:hAnsi="Times New Roman"/>
          <w:sz w:val="18"/>
          <w:szCs w:val="18"/>
        </w:rPr>
        <w:t>ında</w:t>
      </w:r>
      <w:r w:rsidRPr="00942409">
        <w:rPr>
          <w:rFonts w:ascii="Times New Roman" w:hAnsi="Times New Roman"/>
          <w:sz w:val="18"/>
          <w:szCs w:val="18"/>
        </w:rPr>
        <w:t xml:space="preserve"> yer alan “tarihî finansal bilgi” tanımı.</w:t>
      </w:r>
    </w:p>
  </w:footnote>
  <w:footnote w:id="11">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200</w:t>
      </w:r>
      <w:r>
        <w:rPr>
          <w:rFonts w:ascii="Times New Roman" w:hAnsi="Times New Roman"/>
          <w:sz w:val="18"/>
          <w:szCs w:val="18"/>
        </w:rPr>
        <w:t>’ün</w:t>
      </w:r>
      <w:r w:rsidRPr="00942409">
        <w:rPr>
          <w:rFonts w:ascii="Times New Roman" w:hAnsi="Times New Roman"/>
          <w:sz w:val="18"/>
          <w:szCs w:val="18"/>
        </w:rPr>
        <w:t xml:space="preserve"> 13 üncü paragraf</w:t>
      </w:r>
      <w:r>
        <w:rPr>
          <w:rFonts w:ascii="Times New Roman" w:hAnsi="Times New Roman"/>
          <w:sz w:val="18"/>
          <w:szCs w:val="18"/>
        </w:rPr>
        <w:t>ında</w:t>
      </w:r>
      <w:r w:rsidRPr="00942409">
        <w:rPr>
          <w:rFonts w:ascii="Times New Roman" w:hAnsi="Times New Roman"/>
          <w:sz w:val="18"/>
          <w:szCs w:val="18"/>
        </w:rPr>
        <w:t xml:space="preserve"> yer alan “finansal tablolar” tanımı. </w:t>
      </w:r>
    </w:p>
  </w:footnote>
  <w:footnote w:id="12">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200, 2 nci paragraf</w:t>
      </w:r>
    </w:p>
  </w:footnote>
  <w:footnote w:id="13">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GDS 3000, “Tarih</w:t>
      </w:r>
      <w:r>
        <w:rPr>
          <w:rFonts w:ascii="Times New Roman" w:hAnsi="Times New Roman"/>
          <w:sz w:val="18"/>
          <w:szCs w:val="18"/>
        </w:rPr>
        <w:t>î</w:t>
      </w:r>
      <w:r w:rsidRPr="00942409">
        <w:rPr>
          <w:rFonts w:ascii="Times New Roman" w:hAnsi="Times New Roman"/>
          <w:sz w:val="18"/>
          <w:szCs w:val="18"/>
        </w:rPr>
        <w:t xml:space="preserve"> Finansal Bilgilerin Bağımsız Denetimi veya Sınırlı Bağımsız Denetimi Dışındaki Güvence Denetimleri”</w:t>
      </w:r>
    </w:p>
  </w:footnote>
  <w:footnote w:id="14">
    <w:p w:rsidR="00285C13" w:rsidRDefault="00285C13" w:rsidP="00942409">
      <w:pPr>
        <w:autoSpaceDE w:val="0"/>
        <w:autoSpaceDN w:val="0"/>
        <w:adjustRightInd w:val="0"/>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w:t>
      </w:r>
      <w:r w:rsidRPr="00942409">
        <w:rPr>
          <w:rFonts w:ascii="Times New Roman" w:hAnsi="Times New Roman"/>
          <w:color w:val="000000"/>
          <w:sz w:val="18"/>
          <w:szCs w:val="18"/>
        </w:rPr>
        <w:t xml:space="preserve"> BDS 200, 14, 18 ve 22-23 üncü paragraflar</w:t>
      </w:r>
    </w:p>
  </w:footnote>
  <w:footnote w:id="15">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570, “İşletmenin Sürekliliği”</w:t>
      </w:r>
    </w:p>
  </w:footnote>
  <w:footnote w:id="16">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200, 8 inci paragraf</w:t>
      </w:r>
    </w:p>
  </w:footnote>
  <w:footnote w:id="17">
    <w:p w:rsidR="00285C13" w:rsidRPr="00942409" w:rsidRDefault="00285C13" w:rsidP="00942409">
      <w:pPr>
        <w:jc w:val="both"/>
        <w:rPr>
          <w:rFonts w:ascii="Times New Roman" w:hAnsi="Times New Roman"/>
          <w:sz w:val="18"/>
          <w:szCs w:val="18"/>
        </w:rPr>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700, 35–36 ncı paragraflar</w:t>
      </w:r>
    </w:p>
    <w:p w:rsidR="00285C13" w:rsidRDefault="00285C13" w:rsidP="00942409">
      <w:pPr>
        <w:jc w:val="both"/>
      </w:pPr>
    </w:p>
  </w:footnote>
  <w:footnote w:id="18">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240, “Finansal Tabloların Bağımsız Denetiminde Bağımsız Denetçinin Hileye İlişkin Sorumlulukları”</w:t>
      </w:r>
    </w:p>
  </w:footnote>
  <w:footnote w:id="19">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550, “İlişkili Taraflar”</w:t>
      </w:r>
    </w:p>
  </w:footnote>
  <w:footnote w:id="20">
    <w:p w:rsidR="00285C13" w:rsidRDefault="00285C13" w:rsidP="00942409">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200, 2 nci paragraf</w:t>
      </w:r>
    </w:p>
  </w:footnote>
  <w:footnote w:id="21">
    <w:p w:rsidR="00285C13" w:rsidRDefault="00285C13">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700, 13(d) paragrafı</w:t>
      </w:r>
    </w:p>
  </w:footnote>
  <w:footnote w:id="22">
    <w:p w:rsidR="00285C13" w:rsidRDefault="00285C13">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706, “Bağımsız Denetçi Raporunda Yer Alan Dikkat Çekilen Hususlar ve Diğer Hususlar Paragrafları”, 6 ncı paragraf</w:t>
      </w:r>
    </w:p>
  </w:footnote>
  <w:footnote w:id="23">
    <w:p w:rsidR="00285C13" w:rsidRPr="00942409" w:rsidRDefault="00285C13">
      <w:pPr>
        <w:pStyle w:val="FootnoteText"/>
        <w:jc w:val="both"/>
        <w:rPr>
          <w:rFonts w:ascii="Times New Roman" w:hAnsi="Times New Roman"/>
          <w:sz w:val="18"/>
          <w:szCs w:val="18"/>
        </w:rPr>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BDS 510, “İlk Bağımsız Denetimler–Açılış Bakiyeleri”, A8 paragrafı ve BDS 705, A16 paragrafı</w:t>
      </w:r>
    </w:p>
    <w:p w:rsidR="00285C13" w:rsidRDefault="00285C13">
      <w:pPr>
        <w:pStyle w:val="FootnoteText"/>
        <w:jc w:val="both"/>
      </w:pPr>
    </w:p>
  </w:footnote>
  <w:footnote w:id="24">
    <w:p w:rsidR="00285C13" w:rsidRDefault="00285C13">
      <w:pPr>
        <w:pStyle w:val="FootnoteText"/>
        <w:jc w:val="both"/>
      </w:pPr>
      <w:r w:rsidRPr="00942409">
        <w:rPr>
          <w:rStyle w:val="FootnoteReference"/>
          <w:rFonts w:ascii="Times New Roman" w:hAnsi="Times New Roman"/>
          <w:sz w:val="18"/>
          <w:szCs w:val="18"/>
        </w:rPr>
        <w:footnoteRef/>
      </w:r>
      <w:r w:rsidRPr="00942409">
        <w:rPr>
          <w:rFonts w:ascii="Times New Roman" w:hAnsi="Times New Roman"/>
          <w:sz w:val="18"/>
          <w:szCs w:val="18"/>
        </w:rPr>
        <w:t xml:space="preserve"> </w:t>
      </w:r>
      <w:r w:rsidRPr="00942409">
        <w:rPr>
          <w:rFonts w:ascii="Times New Roman" w:hAnsi="Times New Roman"/>
          <w:color w:val="000000"/>
          <w:sz w:val="18"/>
          <w:szCs w:val="18"/>
        </w:rPr>
        <w:t>Veya ilgili yasal çerçeve bağlamında uygun olan başka bir terim.</w:t>
      </w:r>
    </w:p>
  </w:footnote>
  <w:footnote w:id="25">
    <w:p w:rsidR="00285C13" w:rsidRDefault="00285C13">
      <w:pPr>
        <w:pStyle w:val="FootnoteText"/>
        <w:jc w:val="both"/>
      </w:pPr>
      <w:r w:rsidRPr="00942409">
        <w:rPr>
          <w:rStyle w:val="FootnoteReference"/>
          <w:rFonts w:ascii="Times New Roman" w:hAnsi="Times New Roman"/>
          <w:sz w:val="18"/>
          <w:szCs w:val="18"/>
        </w:rPr>
        <w:t>2</w:t>
      </w:r>
      <w:r w:rsidRPr="00942409">
        <w:rPr>
          <w:rFonts w:ascii="Times New Roman" w:hAnsi="Times New Roman"/>
          <w:sz w:val="18"/>
          <w:szCs w:val="18"/>
        </w:rPr>
        <w:t xml:space="preserve"> </w:t>
      </w:r>
      <w:r w:rsidRPr="009E0269">
        <w:rPr>
          <w:rFonts w:ascii="Times New Roman" w:hAnsi="Times New Roman"/>
          <w:color w:val="000000"/>
          <w:sz w:val="18"/>
          <w:szCs w:val="18"/>
        </w:rPr>
        <w:t>Denetçinin, finansal tablonun denetimi ile birlikte iç kontrolün etkinliğine ilişkin görüş verme sorumluluğunun da bulunduğu durumlarda, bu cümle şu şekilde ifade edilecektir: “Denetçi, risk değerlendirmelerini yaparken şartlara uygun denetim prosedürlerini tasarlamak amacıyla,  işletmenin finansal tablosunun hazırlanması ve gerçeğe uygun sunumuyla ilgili iç kontrolü değerlendirir.”</w:t>
      </w:r>
    </w:p>
  </w:footnote>
  <w:footnote w:id="26">
    <w:p w:rsidR="00285C13" w:rsidRDefault="00285C13">
      <w:pPr>
        <w:pStyle w:val="FootnoteText"/>
        <w:jc w:val="both"/>
      </w:pPr>
      <w:r w:rsidRPr="00942409">
        <w:rPr>
          <w:rStyle w:val="FootnoteReference"/>
          <w:rFonts w:ascii="Times New Roman" w:hAnsi="Times New Roman"/>
          <w:sz w:val="18"/>
          <w:szCs w:val="18"/>
        </w:rPr>
        <w:t>3</w:t>
      </w:r>
      <w:r w:rsidRPr="00942409">
        <w:rPr>
          <w:rFonts w:ascii="Times New Roman" w:hAnsi="Times New Roman"/>
          <w:sz w:val="18"/>
          <w:szCs w:val="18"/>
        </w:rPr>
        <w:t xml:space="preserve"> </w:t>
      </w:r>
      <w:r w:rsidRPr="00942409">
        <w:rPr>
          <w:rFonts w:ascii="Times New Roman" w:hAnsi="Times New Roman"/>
          <w:color w:val="000000"/>
          <w:sz w:val="18"/>
          <w:szCs w:val="18"/>
        </w:rPr>
        <w:t>BDS 800’de</w:t>
      </w:r>
      <w:r>
        <w:rPr>
          <w:rFonts w:ascii="Times New Roman" w:hAnsi="Times New Roman"/>
          <w:color w:val="000000"/>
          <w:sz w:val="18"/>
          <w:szCs w:val="18"/>
        </w:rPr>
        <w:t>,</w:t>
      </w:r>
      <w:r w:rsidRPr="00942409">
        <w:rPr>
          <w:rFonts w:ascii="Times New Roman" w:hAnsi="Times New Roman"/>
          <w:color w:val="000000"/>
          <w:sz w:val="18"/>
          <w:szCs w:val="18"/>
        </w:rPr>
        <w:t xml:space="preserve"> özel amaçlı çerçeve</w:t>
      </w:r>
      <w:r>
        <w:rPr>
          <w:rFonts w:ascii="Times New Roman" w:hAnsi="Times New Roman"/>
          <w:color w:val="000000"/>
          <w:sz w:val="18"/>
          <w:szCs w:val="18"/>
        </w:rPr>
        <w:t xml:space="preserve">ye uygun olarak </w:t>
      </w:r>
      <w:r w:rsidRPr="00942409">
        <w:rPr>
          <w:rFonts w:ascii="Times New Roman" w:hAnsi="Times New Roman"/>
          <w:color w:val="000000"/>
          <w:sz w:val="18"/>
          <w:szCs w:val="18"/>
        </w:rPr>
        <w:t>hazırlan</w:t>
      </w:r>
      <w:r>
        <w:rPr>
          <w:rFonts w:ascii="Times New Roman" w:hAnsi="Times New Roman"/>
          <w:color w:val="000000"/>
          <w:sz w:val="18"/>
          <w:szCs w:val="18"/>
        </w:rPr>
        <w:t>mış olan</w:t>
      </w:r>
      <w:r w:rsidRPr="00942409">
        <w:rPr>
          <w:rFonts w:ascii="Times New Roman" w:hAnsi="Times New Roman"/>
          <w:color w:val="000000"/>
          <w:sz w:val="18"/>
          <w:szCs w:val="18"/>
        </w:rPr>
        <w:t xml:space="preserve"> finansal tabloların şekil ve içeriğine ilişkin hüküm</w:t>
      </w:r>
      <w:r>
        <w:rPr>
          <w:rFonts w:ascii="Times New Roman" w:hAnsi="Times New Roman"/>
          <w:color w:val="000000"/>
          <w:sz w:val="18"/>
          <w:szCs w:val="18"/>
        </w:rPr>
        <w:t xml:space="preserve"> </w:t>
      </w:r>
      <w:r w:rsidRPr="00942409">
        <w:rPr>
          <w:rFonts w:ascii="Times New Roman" w:hAnsi="Times New Roman"/>
          <w:color w:val="000000"/>
          <w:sz w:val="18"/>
          <w:szCs w:val="18"/>
        </w:rPr>
        <w:t>ve açıklamalar yer alır.</w:t>
      </w:r>
    </w:p>
  </w:footnote>
  <w:footnote w:id="27">
    <w:p w:rsidR="00285C13" w:rsidRPr="00942409" w:rsidRDefault="00285C13">
      <w:pPr>
        <w:pStyle w:val="FootnoteText"/>
        <w:jc w:val="both"/>
        <w:rPr>
          <w:rFonts w:ascii="Times New Roman" w:hAnsi="Times New Roman"/>
          <w:color w:val="000000"/>
          <w:sz w:val="18"/>
          <w:szCs w:val="18"/>
        </w:rPr>
      </w:pPr>
      <w:r w:rsidRPr="00942409">
        <w:rPr>
          <w:rStyle w:val="FootnoteReference"/>
          <w:rFonts w:ascii="Times New Roman" w:hAnsi="Times New Roman"/>
          <w:sz w:val="18"/>
          <w:szCs w:val="18"/>
        </w:rPr>
        <w:t>4</w:t>
      </w:r>
      <w:r w:rsidRPr="00942409">
        <w:rPr>
          <w:rFonts w:ascii="Times New Roman" w:hAnsi="Times New Roman"/>
          <w:sz w:val="18"/>
          <w:szCs w:val="18"/>
        </w:rPr>
        <w:t xml:space="preserve"> </w:t>
      </w:r>
      <w:r w:rsidRPr="00942409">
        <w:rPr>
          <w:rFonts w:ascii="Times New Roman" w:hAnsi="Times New Roman"/>
          <w:color w:val="000000"/>
          <w:sz w:val="18"/>
          <w:szCs w:val="18"/>
        </w:rPr>
        <w:t>Veya ilgili yasal çerçeve bağlamında uygun olan başka bir terim.</w:t>
      </w:r>
    </w:p>
    <w:p w:rsidR="00285C13" w:rsidRDefault="00285C13">
      <w:pPr>
        <w:pStyle w:val="FootnoteText"/>
        <w:jc w:val="both"/>
      </w:pPr>
    </w:p>
  </w:footnote>
  <w:footnote w:id="28">
    <w:p w:rsidR="00285C13" w:rsidRDefault="00285C13">
      <w:pPr>
        <w:pStyle w:val="FootnoteText"/>
        <w:jc w:val="both"/>
      </w:pPr>
      <w:r w:rsidRPr="00942409">
        <w:rPr>
          <w:rStyle w:val="FootnoteReference"/>
          <w:rFonts w:ascii="Times New Roman" w:hAnsi="Times New Roman"/>
          <w:sz w:val="18"/>
          <w:szCs w:val="18"/>
        </w:rPr>
        <w:t>5</w:t>
      </w:r>
      <w:r w:rsidRPr="00942409">
        <w:rPr>
          <w:rFonts w:ascii="Times New Roman" w:hAnsi="Times New Roman"/>
          <w:sz w:val="18"/>
          <w:szCs w:val="18"/>
        </w:rPr>
        <w:t xml:space="preserve"> </w:t>
      </w:r>
      <w:r w:rsidRPr="00942409">
        <w:rPr>
          <w:rFonts w:ascii="Times New Roman" w:hAnsi="Times New Roman"/>
          <w:color w:val="000000"/>
          <w:sz w:val="18"/>
          <w:szCs w:val="18"/>
        </w:rPr>
        <w:t>BDS 800’de özel amaçlı çerçeve</w:t>
      </w:r>
      <w:r>
        <w:rPr>
          <w:rFonts w:ascii="Times New Roman" w:hAnsi="Times New Roman"/>
          <w:color w:val="000000"/>
          <w:sz w:val="18"/>
          <w:szCs w:val="18"/>
        </w:rPr>
        <w:t>ye uygun olarak</w:t>
      </w:r>
      <w:r w:rsidRPr="00942409">
        <w:rPr>
          <w:rFonts w:ascii="Times New Roman" w:hAnsi="Times New Roman"/>
          <w:color w:val="000000"/>
          <w:sz w:val="18"/>
          <w:szCs w:val="18"/>
        </w:rPr>
        <w:t xml:space="preserve"> hazırlan</w:t>
      </w:r>
      <w:r>
        <w:rPr>
          <w:rFonts w:ascii="Times New Roman" w:hAnsi="Times New Roman"/>
          <w:color w:val="000000"/>
          <w:sz w:val="18"/>
          <w:szCs w:val="18"/>
        </w:rPr>
        <w:t>mış olan</w:t>
      </w:r>
      <w:r w:rsidRPr="00942409">
        <w:rPr>
          <w:rFonts w:ascii="Times New Roman" w:hAnsi="Times New Roman"/>
          <w:color w:val="000000"/>
          <w:sz w:val="18"/>
          <w:szCs w:val="18"/>
        </w:rPr>
        <w:t xml:space="preserve"> finansal tabloların şekil ve içeriğine ilişkin hüküm ve açıklamalar yer alır.</w:t>
      </w:r>
    </w:p>
  </w:footnote>
  <w:footnote w:id="29">
    <w:p w:rsidR="00285C13" w:rsidRDefault="00285C13">
      <w:pPr>
        <w:pStyle w:val="FootnoteText"/>
        <w:jc w:val="both"/>
      </w:pPr>
      <w:r w:rsidRPr="00942409">
        <w:rPr>
          <w:rStyle w:val="FootnoteReference"/>
          <w:rFonts w:ascii="Times New Roman" w:hAnsi="Times New Roman"/>
          <w:sz w:val="18"/>
          <w:szCs w:val="18"/>
        </w:rPr>
        <w:t>6</w:t>
      </w:r>
      <w:r w:rsidRPr="00942409">
        <w:rPr>
          <w:rFonts w:ascii="Times New Roman" w:hAnsi="Times New Roman"/>
          <w:sz w:val="18"/>
          <w:szCs w:val="18"/>
        </w:rPr>
        <w:t xml:space="preserve"> </w:t>
      </w:r>
      <w:r w:rsidRPr="00942409">
        <w:rPr>
          <w:rFonts w:ascii="Times New Roman" w:hAnsi="Times New Roman"/>
          <w:color w:val="000000"/>
          <w:sz w:val="18"/>
          <w:szCs w:val="18"/>
        </w:rPr>
        <w:t>Veya ilgili yasal çerçeve bağlamında uygun olan başka bir terim</w:t>
      </w:r>
      <w:r>
        <w:rPr>
          <w:rFonts w:ascii="Times New Roman" w:hAnsi="Times New Roman"/>
          <w:color w:val="000000"/>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13" w:rsidRDefault="00285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74B8"/>
    <w:multiLevelType w:val="hybridMultilevel"/>
    <w:tmpl w:val="2BBAF8D2"/>
    <w:lvl w:ilvl="0" w:tplc="2FC4F424">
      <w:start w:val="1"/>
      <w:numFmt w:val="lowerLetter"/>
      <w:lvlText w:val="(%1)"/>
      <w:lvlJc w:val="left"/>
      <w:pPr>
        <w:ind w:left="1287" w:hanging="360"/>
      </w:pPr>
      <w:rPr>
        <w:rFonts w:cs="Times New Roman" w:hint="default"/>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
    <w:nsid w:val="03796A48"/>
    <w:multiLevelType w:val="hybridMultilevel"/>
    <w:tmpl w:val="2BBAF8D2"/>
    <w:lvl w:ilvl="0" w:tplc="2FC4F424">
      <w:start w:val="1"/>
      <w:numFmt w:val="lowerLetter"/>
      <w:lvlText w:val="(%1)"/>
      <w:lvlJc w:val="left"/>
      <w:pPr>
        <w:ind w:left="502" w:hanging="36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2">
    <w:nsid w:val="1C0C3FD7"/>
    <w:multiLevelType w:val="hybridMultilevel"/>
    <w:tmpl w:val="79727A08"/>
    <w:lvl w:ilvl="0" w:tplc="0D7CBC24">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9926B6"/>
    <w:multiLevelType w:val="hybridMultilevel"/>
    <w:tmpl w:val="B338E48A"/>
    <w:lvl w:ilvl="0" w:tplc="A9886D0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26B81C3F"/>
    <w:multiLevelType w:val="hybridMultilevel"/>
    <w:tmpl w:val="B7501C72"/>
    <w:lvl w:ilvl="0" w:tplc="041F0001">
      <w:start w:val="1"/>
      <w:numFmt w:val="bullet"/>
      <w:lvlText w:val=""/>
      <w:lvlJc w:val="left"/>
      <w:pPr>
        <w:ind w:left="579" w:hanging="360"/>
      </w:pPr>
      <w:rPr>
        <w:rFonts w:ascii="Symbol" w:hAnsi="Symbol" w:hint="default"/>
      </w:rPr>
    </w:lvl>
    <w:lvl w:ilvl="1" w:tplc="041F0003" w:tentative="1">
      <w:start w:val="1"/>
      <w:numFmt w:val="bullet"/>
      <w:lvlText w:val="o"/>
      <w:lvlJc w:val="left"/>
      <w:pPr>
        <w:ind w:left="1299" w:hanging="360"/>
      </w:pPr>
      <w:rPr>
        <w:rFonts w:ascii="Courier New" w:hAnsi="Courier New" w:hint="default"/>
      </w:rPr>
    </w:lvl>
    <w:lvl w:ilvl="2" w:tplc="041F0005" w:tentative="1">
      <w:start w:val="1"/>
      <w:numFmt w:val="bullet"/>
      <w:lvlText w:val=""/>
      <w:lvlJc w:val="left"/>
      <w:pPr>
        <w:ind w:left="2019" w:hanging="360"/>
      </w:pPr>
      <w:rPr>
        <w:rFonts w:ascii="Wingdings" w:hAnsi="Wingdings" w:hint="default"/>
      </w:rPr>
    </w:lvl>
    <w:lvl w:ilvl="3" w:tplc="041F0001" w:tentative="1">
      <w:start w:val="1"/>
      <w:numFmt w:val="bullet"/>
      <w:lvlText w:val=""/>
      <w:lvlJc w:val="left"/>
      <w:pPr>
        <w:ind w:left="2739" w:hanging="360"/>
      </w:pPr>
      <w:rPr>
        <w:rFonts w:ascii="Symbol" w:hAnsi="Symbol" w:hint="default"/>
      </w:rPr>
    </w:lvl>
    <w:lvl w:ilvl="4" w:tplc="041F0003" w:tentative="1">
      <w:start w:val="1"/>
      <w:numFmt w:val="bullet"/>
      <w:lvlText w:val="o"/>
      <w:lvlJc w:val="left"/>
      <w:pPr>
        <w:ind w:left="3459" w:hanging="360"/>
      </w:pPr>
      <w:rPr>
        <w:rFonts w:ascii="Courier New" w:hAnsi="Courier New" w:hint="default"/>
      </w:rPr>
    </w:lvl>
    <w:lvl w:ilvl="5" w:tplc="041F0005" w:tentative="1">
      <w:start w:val="1"/>
      <w:numFmt w:val="bullet"/>
      <w:lvlText w:val=""/>
      <w:lvlJc w:val="left"/>
      <w:pPr>
        <w:ind w:left="4179" w:hanging="360"/>
      </w:pPr>
      <w:rPr>
        <w:rFonts w:ascii="Wingdings" w:hAnsi="Wingdings" w:hint="default"/>
      </w:rPr>
    </w:lvl>
    <w:lvl w:ilvl="6" w:tplc="041F0001" w:tentative="1">
      <w:start w:val="1"/>
      <w:numFmt w:val="bullet"/>
      <w:lvlText w:val=""/>
      <w:lvlJc w:val="left"/>
      <w:pPr>
        <w:ind w:left="4899" w:hanging="360"/>
      </w:pPr>
      <w:rPr>
        <w:rFonts w:ascii="Symbol" w:hAnsi="Symbol" w:hint="default"/>
      </w:rPr>
    </w:lvl>
    <w:lvl w:ilvl="7" w:tplc="041F0003" w:tentative="1">
      <w:start w:val="1"/>
      <w:numFmt w:val="bullet"/>
      <w:lvlText w:val="o"/>
      <w:lvlJc w:val="left"/>
      <w:pPr>
        <w:ind w:left="5619" w:hanging="360"/>
      </w:pPr>
      <w:rPr>
        <w:rFonts w:ascii="Courier New" w:hAnsi="Courier New" w:hint="default"/>
      </w:rPr>
    </w:lvl>
    <w:lvl w:ilvl="8" w:tplc="041F0005" w:tentative="1">
      <w:start w:val="1"/>
      <w:numFmt w:val="bullet"/>
      <w:lvlText w:val=""/>
      <w:lvlJc w:val="left"/>
      <w:pPr>
        <w:ind w:left="6339" w:hanging="360"/>
      </w:pPr>
      <w:rPr>
        <w:rFonts w:ascii="Wingdings" w:hAnsi="Wingdings" w:hint="default"/>
      </w:rPr>
    </w:lvl>
  </w:abstractNum>
  <w:abstractNum w:abstractNumId="5">
    <w:nsid w:val="2885255D"/>
    <w:multiLevelType w:val="hybridMultilevel"/>
    <w:tmpl w:val="D03C23CA"/>
    <w:lvl w:ilvl="0" w:tplc="041F0001">
      <w:start w:val="1"/>
      <w:numFmt w:val="bullet"/>
      <w:lvlText w:val=""/>
      <w:lvlJc w:val="left"/>
      <w:pPr>
        <w:ind w:left="720" w:hanging="360"/>
      </w:pPr>
      <w:rPr>
        <w:rFonts w:ascii="Symbol" w:hAnsi="Symbol" w:hint="default"/>
      </w:rPr>
    </w:lvl>
    <w:lvl w:ilvl="1" w:tplc="720EEE36">
      <w:numFmt w:val="bullet"/>
      <w:lvlText w:val="•"/>
      <w:lvlJc w:val="left"/>
      <w:pPr>
        <w:ind w:left="1440" w:hanging="360"/>
      </w:pPr>
      <w:rPr>
        <w:rFonts w:ascii="Calibri" w:eastAsia="SimSun" w:hAnsi="Calibri" w:hint="default"/>
        <w:b w:val="0"/>
        <w:color w:val="auto"/>
        <w:sz w:val="22"/>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CB4D8B"/>
    <w:multiLevelType w:val="hybridMultilevel"/>
    <w:tmpl w:val="09AC4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CA261DD"/>
    <w:multiLevelType w:val="hybridMultilevel"/>
    <w:tmpl w:val="41305C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CB778FC"/>
    <w:multiLevelType w:val="hybridMultilevel"/>
    <w:tmpl w:val="C956A19A"/>
    <w:lvl w:ilvl="0" w:tplc="4A5E49CE">
      <w:start w:val="1"/>
      <w:numFmt w:val="lowerLetter"/>
      <w:lvlText w:val="(%1)"/>
      <w:lvlJc w:val="left"/>
      <w:pPr>
        <w:ind w:left="1272" w:hanging="660"/>
      </w:pPr>
      <w:rPr>
        <w:rFonts w:cs="Times New Roman" w:hint="default"/>
      </w:rPr>
    </w:lvl>
    <w:lvl w:ilvl="1" w:tplc="041F0019" w:tentative="1">
      <w:start w:val="1"/>
      <w:numFmt w:val="lowerLetter"/>
      <w:lvlText w:val="%2."/>
      <w:lvlJc w:val="left"/>
      <w:pPr>
        <w:ind w:left="1692" w:hanging="360"/>
      </w:pPr>
      <w:rPr>
        <w:rFonts w:cs="Times New Roman"/>
      </w:rPr>
    </w:lvl>
    <w:lvl w:ilvl="2" w:tplc="041F001B" w:tentative="1">
      <w:start w:val="1"/>
      <w:numFmt w:val="lowerRoman"/>
      <w:lvlText w:val="%3."/>
      <w:lvlJc w:val="right"/>
      <w:pPr>
        <w:ind w:left="2412" w:hanging="180"/>
      </w:pPr>
      <w:rPr>
        <w:rFonts w:cs="Times New Roman"/>
      </w:rPr>
    </w:lvl>
    <w:lvl w:ilvl="3" w:tplc="041F000F" w:tentative="1">
      <w:start w:val="1"/>
      <w:numFmt w:val="decimal"/>
      <w:lvlText w:val="%4."/>
      <w:lvlJc w:val="left"/>
      <w:pPr>
        <w:ind w:left="3132" w:hanging="360"/>
      </w:pPr>
      <w:rPr>
        <w:rFonts w:cs="Times New Roman"/>
      </w:rPr>
    </w:lvl>
    <w:lvl w:ilvl="4" w:tplc="041F0019" w:tentative="1">
      <w:start w:val="1"/>
      <w:numFmt w:val="lowerLetter"/>
      <w:lvlText w:val="%5."/>
      <w:lvlJc w:val="left"/>
      <w:pPr>
        <w:ind w:left="3852" w:hanging="360"/>
      </w:pPr>
      <w:rPr>
        <w:rFonts w:cs="Times New Roman"/>
      </w:rPr>
    </w:lvl>
    <w:lvl w:ilvl="5" w:tplc="041F001B" w:tentative="1">
      <w:start w:val="1"/>
      <w:numFmt w:val="lowerRoman"/>
      <w:lvlText w:val="%6."/>
      <w:lvlJc w:val="right"/>
      <w:pPr>
        <w:ind w:left="4572" w:hanging="180"/>
      </w:pPr>
      <w:rPr>
        <w:rFonts w:cs="Times New Roman"/>
      </w:rPr>
    </w:lvl>
    <w:lvl w:ilvl="6" w:tplc="041F000F" w:tentative="1">
      <w:start w:val="1"/>
      <w:numFmt w:val="decimal"/>
      <w:lvlText w:val="%7."/>
      <w:lvlJc w:val="left"/>
      <w:pPr>
        <w:ind w:left="5292" w:hanging="360"/>
      </w:pPr>
      <w:rPr>
        <w:rFonts w:cs="Times New Roman"/>
      </w:rPr>
    </w:lvl>
    <w:lvl w:ilvl="7" w:tplc="041F0019" w:tentative="1">
      <w:start w:val="1"/>
      <w:numFmt w:val="lowerLetter"/>
      <w:lvlText w:val="%8."/>
      <w:lvlJc w:val="left"/>
      <w:pPr>
        <w:ind w:left="6012" w:hanging="360"/>
      </w:pPr>
      <w:rPr>
        <w:rFonts w:cs="Times New Roman"/>
      </w:rPr>
    </w:lvl>
    <w:lvl w:ilvl="8" w:tplc="041F001B" w:tentative="1">
      <w:start w:val="1"/>
      <w:numFmt w:val="lowerRoman"/>
      <w:lvlText w:val="%9."/>
      <w:lvlJc w:val="right"/>
      <w:pPr>
        <w:ind w:left="6732" w:hanging="180"/>
      </w:pPr>
      <w:rPr>
        <w:rFonts w:cs="Times New Roman"/>
      </w:rPr>
    </w:lvl>
  </w:abstractNum>
  <w:abstractNum w:abstractNumId="9">
    <w:nsid w:val="3E367060"/>
    <w:multiLevelType w:val="hybridMultilevel"/>
    <w:tmpl w:val="B77230A0"/>
    <w:lvl w:ilvl="0" w:tplc="041F0001">
      <w:start w:val="1"/>
      <w:numFmt w:val="bullet"/>
      <w:lvlText w:val=""/>
      <w:lvlJc w:val="left"/>
      <w:pPr>
        <w:ind w:left="437" w:hanging="360"/>
      </w:pPr>
      <w:rPr>
        <w:rFonts w:ascii="Symbol" w:hAnsi="Symbol" w:hint="default"/>
      </w:rPr>
    </w:lvl>
    <w:lvl w:ilvl="1" w:tplc="041F0003" w:tentative="1">
      <w:start w:val="1"/>
      <w:numFmt w:val="bullet"/>
      <w:lvlText w:val="o"/>
      <w:lvlJc w:val="left"/>
      <w:pPr>
        <w:ind w:left="1157" w:hanging="360"/>
      </w:pPr>
      <w:rPr>
        <w:rFonts w:ascii="Courier New" w:hAnsi="Courier New" w:hint="default"/>
      </w:rPr>
    </w:lvl>
    <w:lvl w:ilvl="2" w:tplc="041F0005" w:tentative="1">
      <w:start w:val="1"/>
      <w:numFmt w:val="bullet"/>
      <w:lvlText w:val=""/>
      <w:lvlJc w:val="left"/>
      <w:pPr>
        <w:ind w:left="1877" w:hanging="360"/>
      </w:pPr>
      <w:rPr>
        <w:rFonts w:ascii="Wingdings" w:hAnsi="Wingdings" w:hint="default"/>
      </w:rPr>
    </w:lvl>
    <w:lvl w:ilvl="3" w:tplc="041F0001" w:tentative="1">
      <w:start w:val="1"/>
      <w:numFmt w:val="bullet"/>
      <w:lvlText w:val=""/>
      <w:lvlJc w:val="left"/>
      <w:pPr>
        <w:ind w:left="2597" w:hanging="360"/>
      </w:pPr>
      <w:rPr>
        <w:rFonts w:ascii="Symbol" w:hAnsi="Symbol" w:hint="default"/>
      </w:rPr>
    </w:lvl>
    <w:lvl w:ilvl="4" w:tplc="041F0003" w:tentative="1">
      <w:start w:val="1"/>
      <w:numFmt w:val="bullet"/>
      <w:lvlText w:val="o"/>
      <w:lvlJc w:val="left"/>
      <w:pPr>
        <w:ind w:left="3317" w:hanging="360"/>
      </w:pPr>
      <w:rPr>
        <w:rFonts w:ascii="Courier New" w:hAnsi="Courier New" w:hint="default"/>
      </w:rPr>
    </w:lvl>
    <w:lvl w:ilvl="5" w:tplc="041F0005" w:tentative="1">
      <w:start w:val="1"/>
      <w:numFmt w:val="bullet"/>
      <w:lvlText w:val=""/>
      <w:lvlJc w:val="left"/>
      <w:pPr>
        <w:ind w:left="4037" w:hanging="360"/>
      </w:pPr>
      <w:rPr>
        <w:rFonts w:ascii="Wingdings" w:hAnsi="Wingdings" w:hint="default"/>
      </w:rPr>
    </w:lvl>
    <w:lvl w:ilvl="6" w:tplc="041F0001" w:tentative="1">
      <w:start w:val="1"/>
      <w:numFmt w:val="bullet"/>
      <w:lvlText w:val=""/>
      <w:lvlJc w:val="left"/>
      <w:pPr>
        <w:ind w:left="4757" w:hanging="360"/>
      </w:pPr>
      <w:rPr>
        <w:rFonts w:ascii="Symbol" w:hAnsi="Symbol" w:hint="default"/>
      </w:rPr>
    </w:lvl>
    <w:lvl w:ilvl="7" w:tplc="041F0003" w:tentative="1">
      <w:start w:val="1"/>
      <w:numFmt w:val="bullet"/>
      <w:lvlText w:val="o"/>
      <w:lvlJc w:val="left"/>
      <w:pPr>
        <w:ind w:left="5477" w:hanging="360"/>
      </w:pPr>
      <w:rPr>
        <w:rFonts w:ascii="Courier New" w:hAnsi="Courier New" w:hint="default"/>
      </w:rPr>
    </w:lvl>
    <w:lvl w:ilvl="8" w:tplc="041F0005" w:tentative="1">
      <w:start w:val="1"/>
      <w:numFmt w:val="bullet"/>
      <w:lvlText w:val=""/>
      <w:lvlJc w:val="left"/>
      <w:pPr>
        <w:ind w:left="6197" w:hanging="360"/>
      </w:pPr>
      <w:rPr>
        <w:rFonts w:ascii="Wingdings" w:hAnsi="Wingdings" w:hint="default"/>
      </w:rPr>
    </w:lvl>
  </w:abstractNum>
  <w:abstractNum w:abstractNumId="10">
    <w:nsid w:val="46B144E2"/>
    <w:multiLevelType w:val="hybridMultilevel"/>
    <w:tmpl w:val="AA52A38C"/>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62060E"/>
    <w:multiLevelType w:val="hybridMultilevel"/>
    <w:tmpl w:val="EC400BCA"/>
    <w:lvl w:ilvl="0" w:tplc="1A92AE7A">
      <w:start w:val="1"/>
      <w:numFmt w:val="lowerRoman"/>
      <w:lvlText w:val="(%1)"/>
      <w:lvlJc w:val="right"/>
      <w:pPr>
        <w:ind w:left="1495" w:hanging="360"/>
      </w:pPr>
      <w:rPr>
        <w:rFonts w:cs="Times New Roman" w:hint="default"/>
      </w:rPr>
    </w:lvl>
    <w:lvl w:ilvl="1" w:tplc="041F0019" w:tentative="1">
      <w:start w:val="1"/>
      <w:numFmt w:val="lowerLetter"/>
      <w:lvlText w:val="%2."/>
      <w:lvlJc w:val="left"/>
      <w:pPr>
        <w:ind w:left="2215" w:hanging="360"/>
      </w:pPr>
      <w:rPr>
        <w:rFonts w:cs="Times New Roman"/>
      </w:rPr>
    </w:lvl>
    <w:lvl w:ilvl="2" w:tplc="041F001B" w:tentative="1">
      <w:start w:val="1"/>
      <w:numFmt w:val="lowerRoman"/>
      <w:lvlText w:val="%3."/>
      <w:lvlJc w:val="right"/>
      <w:pPr>
        <w:ind w:left="2935" w:hanging="180"/>
      </w:pPr>
      <w:rPr>
        <w:rFonts w:cs="Times New Roman"/>
      </w:rPr>
    </w:lvl>
    <w:lvl w:ilvl="3" w:tplc="041F000F" w:tentative="1">
      <w:start w:val="1"/>
      <w:numFmt w:val="decimal"/>
      <w:lvlText w:val="%4."/>
      <w:lvlJc w:val="left"/>
      <w:pPr>
        <w:ind w:left="3655" w:hanging="360"/>
      </w:pPr>
      <w:rPr>
        <w:rFonts w:cs="Times New Roman"/>
      </w:rPr>
    </w:lvl>
    <w:lvl w:ilvl="4" w:tplc="041F0019" w:tentative="1">
      <w:start w:val="1"/>
      <w:numFmt w:val="lowerLetter"/>
      <w:lvlText w:val="%5."/>
      <w:lvlJc w:val="left"/>
      <w:pPr>
        <w:ind w:left="4375" w:hanging="360"/>
      </w:pPr>
      <w:rPr>
        <w:rFonts w:cs="Times New Roman"/>
      </w:rPr>
    </w:lvl>
    <w:lvl w:ilvl="5" w:tplc="041F001B" w:tentative="1">
      <w:start w:val="1"/>
      <w:numFmt w:val="lowerRoman"/>
      <w:lvlText w:val="%6."/>
      <w:lvlJc w:val="right"/>
      <w:pPr>
        <w:ind w:left="5095" w:hanging="180"/>
      </w:pPr>
      <w:rPr>
        <w:rFonts w:cs="Times New Roman"/>
      </w:rPr>
    </w:lvl>
    <w:lvl w:ilvl="6" w:tplc="041F000F" w:tentative="1">
      <w:start w:val="1"/>
      <w:numFmt w:val="decimal"/>
      <w:lvlText w:val="%7."/>
      <w:lvlJc w:val="left"/>
      <w:pPr>
        <w:ind w:left="5815" w:hanging="360"/>
      </w:pPr>
      <w:rPr>
        <w:rFonts w:cs="Times New Roman"/>
      </w:rPr>
    </w:lvl>
    <w:lvl w:ilvl="7" w:tplc="041F0019" w:tentative="1">
      <w:start w:val="1"/>
      <w:numFmt w:val="lowerLetter"/>
      <w:lvlText w:val="%8."/>
      <w:lvlJc w:val="left"/>
      <w:pPr>
        <w:ind w:left="6535" w:hanging="360"/>
      </w:pPr>
      <w:rPr>
        <w:rFonts w:cs="Times New Roman"/>
      </w:rPr>
    </w:lvl>
    <w:lvl w:ilvl="8" w:tplc="041F001B" w:tentative="1">
      <w:start w:val="1"/>
      <w:numFmt w:val="lowerRoman"/>
      <w:lvlText w:val="%9."/>
      <w:lvlJc w:val="right"/>
      <w:pPr>
        <w:ind w:left="7255" w:hanging="180"/>
      </w:pPr>
      <w:rPr>
        <w:rFonts w:cs="Times New Roman"/>
      </w:rPr>
    </w:lvl>
  </w:abstractNum>
  <w:abstractNum w:abstractNumId="12">
    <w:nsid w:val="4F8734E7"/>
    <w:multiLevelType w:val="hybridMultilevel"/>
    <w:tmpl w:val="9FB45460"/>
    <w:lvl w:ilvl="0" w:tplc="8A2AFF94">
      <w:start w:val="3"/>
      <w:numFmt w:val="bullet"/>
      <w:lvlText w:val="•"/>
      <w:lvlJc w:val="left"/>
      <w:pPr>
        <w:ind w:left="720" w:hanging="360"/>
      </w:pPr>
      <w:rPr>
        <w:rFonts w:ascii="Swift LT Pro" w:eastAsia="SimSun" w:hAnsi="Swift LT Pro"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91C4313"/>
    <w:multiLevelType w:val="hybridMultilevel"/>
    <w:tmpl w:val="D4463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52473A4"/>
    <w:multiLevelType w:val="hybridMultilevel"/>
    <w:tmpl w:val="58F87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2364238"/>
    <w:multiLevelType w:val="hybridMultilevel"/>
    <w:tmpl w:val="2BBAF8D2"/>
    <w:lvl w:ilvl="0" w:tplc="2FC4F424">
      <w:start w:val="1"/>
      <w:numFmt w:val="lowerLetter"/>
      <w:lvlText w:val="(%1)"/>
      <w:lvlJc w:val="left"/>
      <w:pPr>
        <w:ind w:left="1287" w:hanging="360"/>
      </w:pPr>
      <w:rPr>
        <w:rFonts w:cs="Times New Roman" w:hint="default"/>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6">
    <w:nsid w:val="74746138"/>
    <w:multiLevelType w:val="hybridMultilevel"/>
    <w:tmpl w:val="2BBAF8D2"/>
    <w:lvl w:ilvl="0" w:tplc="2FC4F424">
      <w:start w:val="1"/>
      <w:numFmt w:val="lowerLetter"/>
      <w:lvlText w:val="(%1)"/>
      <w:lvlJc w:val="left"/>
      <w:pPr>
        <w:ind w:left="502" w:hanging="36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num w:numId="1">
    <w:abstractNumId w:val="1"/>
  </w:num>
  <w:num w:numId="2">
    <w:abstractNumId w:val="8"/>
  </w:num>
  <w:num w:numId="3">
    <w:abstractNumId w:val="0"/>
  </w:num>
  <w:num w:numId="4">
    <w:abstractNumId w:val="16"/>
  </w:num>
  <w:num w:numId="5">
    <w:abstractNumId w:val="15"/>
  </w:num>
  <w:num w:numId="6">
    <w:abstractNumId w:val="11"/>
  </w:num>
  <w:num w:numId="7">
    <w:abstractNumId w:val="6"/>
  </w:num>
  <w:num w:numId="8">
    <w:abstractNumId w:val="12"/>
  </w:num>
  <w:num w:numId="9">
    <w:abstractNumId w:val="10"/>
  </w:num>
  <w:num w:numId="10">
    <w:abstractNumId w:val="5"/>
  </w:num>
  <w:num w:numId="11">
    <w:abstractNumId w:val="7"/>
  </w:num>
  <w:num w:numId="12">
    <w:abstractNumId w:val="14"/>
  </w:num>
  <w:num w:numId="13">
    <w:abstractNumId w:val="2"/>
  </w:num>
  <w:num w:numId="14">
    <w:abstractNumId w:val="13"/>
  </w:num>
  <w:num w:numId="15">
    <w:abstractNumId w:val="9"/>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C73"/>
    <w:rsid w:val="000024C7"/>
    <w:rsid w:val="00002E93"/>
    <w:rsid w:val="000032ED"/>
    <w:rsid w:val="00004C9D"/>
    <w:rsid w:val="000062C1"/>
    <w:rsid w:val="00006942"/>
    <w:rsid w:val="000069A7"/>
    <w:rsid w:val="00007076"/>
    <w:rsid w:val="00007F1A"/>
    <w:rsid w:val="0001172A"/>
    <w:rsid w:val="00011984"/>
    <w:rsid w:val="000130F0"/>
    <w:rsid w:val="00013957"/>
    <w:rsid w:val="00015081"/>
    <w:rsid w:val="0001539D"/>
    <w:rsid w:val="00015E2F"/>
    <w:rsid w:val="00016357"/>
    <w:rsid w:val="000240B0"/>
    <w:rsid w:val="00024DB3"/>
    <w:rsid w:val="00025422"/>
    <w:rsid w:val="00025E9A"/>
    <w:rsid w:val="00026E0D"/>
    <w:rsid w:val="000275CE"/>
    <w:rsid w:val="00030091"/>
    <w:rsid w:val="000319EB"/>
    <w:rsid w:val="00031E4F"/>
    <w:rsid w:val="00032BA8"/>
    <w:rsid w:val="00032CAC"/>
    <w:rsid w:val="00032CBA"/>
    <w:rsid w:val="0003482A"/>
    <w:rsid w:val="0003644C"/>
    <w:rsid w:val="00040450"/>
    <w:rsid w:val="000408A5"/>
    <w:rsid w:val="00041FBA"/>
    <w:rsid w:val="0004355B"/>
    <w:rsid w:val="00043CDB"/>
    <w:rsid w:val="00044C41"/>
    <w:rsid w:val="000508D2"/>
    <w:rsid w:val="000508D4"/>
    <w:rsid w:val="0005272F"/>
    <w:rsid w:val="00052BE2"/>
    <w:rsid w:val="00053C81"/>
    <w:rsid w:val="00055D81"/>
    <w:rsid w:val="00056206"/>
    <w:rsid w:val="00056704"/>
    <w:rsid w:val="00060C38"/>
    <w:rsid w:val="00064E8A"/>
    <w:rsid w:val="00067A52"/>
    <w:rsid w:val="0007127B"/>
    <w:rsid w:val="00072D04"/>
    <w:rsid w:val="00072F8F"/>
    <w:rsid w:val="00073B3D"/>
    <w:rsid w:val="00073EF0"/>
    <w:rsid w:val="00074804"/>
    <w:rsid w:val="000810B2"/>
    <w:rsid w:val="00086C5A"/>
    <w:rsid w:val="00087DB5"/>
    <w:rsid w:val="000921A3"/>
    <w:rsid w:val="0009455C"/>
    <w:rsid w:val="00095313"/>
    <w:rsid w:val="000970EB"/>
    <w:rsid w:val="000A0482"/>
    <w:rsid w:val="000A079C"/>
    <w:rsid w:val="000A2D9C"/>
    <w:rsid w:val="000A4212"/>
    <w:rsid w:val="000A77EE"/>
    <w:rsid w:val="000B046D"/>
    <w:rsid w:val="000B34C3"/>
    <w:rsid w:val="000B3C16"/>
    <w:rsid w:val="000B51C5"/>
    <w:rsid w:val="000B553F"/>
    <w:rsid w:val="000B561C"/>
    <w:rsid w:val="000B65B0"/>
    <w:rsid w:val="000B773E"/>
    <w:rsid w:val="000B785A"/>
    <w:rsid w:val="000C47D6"/>
    <w:rsid w:val="000C57F5"/>
    <w:rsid w:val="000C7A8B"/>
    <w:rsid w:val="000D21AA"/>
    <w:rsid w:val="000D2412"/>
    <w:rsid w:val="000D3313"/>
    <w:rsid w:val="000D368B"/>
    <w:rsid w:val="000E04CB"/>
    <w:rsid w:val="000E0DF5"/>
    <w:rsid w:val="000E27C1"/>
    <w:rsid w:val="000E2BF6"/>
    <w:rsid w:val="000E4625"/>
    <w:rsid w:val="000E53FD"/>
    <w:rsid w:val="000E706C"/>
    <w:rsid w:val="000E7593"/>
    <w:rsid w:val="000F2540"/>
    <w:rsid w:val="000F3970"/>
    <w:rsid w:val="000F5839"/>
    <w:rsid w:val="000F5E07"/>
    <w:rsid w:val="000F6153"/>
    <w:rsid w:val="000F702D"/>
    <w:rsid w:val="0010036A"/>
    <w:rsid w:val="00102149"/>
    <w:rsid w:val="00106411"/>
    <w:rsid w:val="001078FC"/>
    <w:rsid w:val="001105DA"/>
    <w:rsid w:val="00110B12"/>
    <w:rsid w:val="00110CC3"/>
    <w:rsid w:val="00110D4F"/>
    <w:rsid w:val="001116D3"/>
    <w:rsid w:val="0011243A"/>
    <w:rsid w:val="00115A24"/>
    <w:rsid w:val="00117EC1"/>
    <w:rsid w:val="00127BAE"/>
    <w:rsid w:val="0013119E"/>
    <w:rsid w:val="00133E74"/>
    <w:rsid w:val="00134BFF"/>
    <w:rsid w:val="0013688A"/>
    <w:rsid w:val="0014155D"/>
    <w:rsid w:val="001426BD"/>
    <w:rsid w:val="00142A39"/>
    <w:rsid w:val="00144CF9"/>
    <w:rsid w:val="001452EF"/>
    <w:rsid w:val="001469EF"/>
    <w:rsid w:val="00152CFA"/>
    <w:rsid w:val="001538AF"/>
    <w:rsid w:val="00157041"/>
    <w:rsid w:val="0016142B"/>
    <w:rsid w:val="00161A04"/>
    <w:rsid w:val="00164127"/>
    <w:rsid w:val="00164614"/>
    <w:rsid w:val="00164763"/>
    <w:rsid w:val="00165D55"/>
    <w:rsid w:val="00166FCA"/>
    <w:rsid w:val="0017139D"/>
    <w:rsid w:val="00172F3C"/>
    <w:rsid w:val="00174A0C"/>
    <w:rsid w:val="001753AD"/>
    <w:rsid w:val="00176526"/>
    <w:rsid w:val="00177726"/>
    <w:rsid w:val="0018169A"/>
    <w:rsid w:val="00183344"/>
    <w:rsid w:val="00184A37"/>
    <w:rsid w:val="00184D56"/>
    <w:rsid w:val="0018579A"/>
    <w:rsid w:val="0018597A"/>
    <w:rsid w:val="0019039C"/>
    <w:rsid w:val="00197D1A"/>
    <w:rsid w:val="001A0349"/>
    <w:rsid w:val="001A1585"/>
    <w:rsid w:val="001A1A6F"/>
    <w:rsid w:val="001A2079"/>
    <w:rsid w:val="001A399B"/>
    <w:rsid w:val="001A5657"/>
    <w:rsid w:val="001A5CFA"/>
    <w:rsid w:val="001A7B78"/>
    <w:rsid w:val="001A7BE1"/>
    <w:rsid w:val="001B049D"/>
    <w:rsid w:val="001B23EF"/>
    <w:rsid w:val="001B3AFB"/>
    <w:rsid w:val="001B3FD9"/>
    <w:rsid w:val="001B4893"/>
    <w:rsid w:val="001B5B4C"/>
    <w:rsid w:val="001B6F18"/>
    <w:rsid w:val="001C11E5"/>
    <w:rsid w:val="001C504F"/>
    <w:rsid w:val="001D06C3"/>
    <w:rsid w:val="001D2A43"/>
    <w:rsid w:val="001D329A"/>
    <w:rsid w:val="001D707C"/>
    <w:rsid w:val="001E227E"/>
    <w:rsid w:val="001E2A52"/>
    <w:rsid w:val="001E2C68"/>
    <w:rsid w:val="001E3888"/>
    <w:rsid w:val="001E482B"/>
    <w:rsid w:val="001E5A0A"/>
    <w:rsid w:val="001E5B33"/>
    <w:rsid w:val="001E6C0F"/>
    <w:rsid w:val="001F1C8A"/>
    <w:rsid w:val="001F2B0D"/>
    <w:rsid w:val="001F6B42"/>
    <w:rsid w:val="001F711E"/>
    <w:rsid w:val="001F7AB9"/>
    <w:rsid w:val="00200AE9"/>
    <w:rsid w:val="00200CB2"/>
    <w:rsid w:val="00210F32"/>
    <w:rsid w:val="002129E5"/>
    <w:rsid w:val="002204CF"/>
    <w:rsid w:val="00224DA7"/>
    <w:rsid w:val="00226CCC"/>
    <w:rsid w:val="0022708B"/>
    <w:rsid w:val="00230511"/>
    <w:rsid w:val="00231B90"/>
    <w:rsid w:val="00231FAA"/>
    <w:rsid w:val="002325E9"/>
    <w:rsid w:val="0023675C"/>
    <w:rsid w:val="00237839"/>
    <w:rsid w:val="002378DA"/>
    <w:rsid w:val="002412EF"/>
    <w:rsid w:val="00241578"/>
    <w:rsid w:val="00241883"/>
    <w:rsid w:val="00241AA6"/>
    <w:rsid w:val="0024315D"/>
    <w:rsid w:val="00243C73"/>
    <w:rsid w:val="00244C39"/>
    <w:rsid w:val="00245F38"/>
    <w:rsid w:val="002502D0"/>
    <w:rsid w:val="00250895"/>
    <w:rsid w:val="00252224"/>
    <w:rsid w:val="00252726"/>
    <w:rsid w:val="00252C8C"/>
    <w:rsid w:val="00253373"/>
    <w:rsid w:val="00253AE7"/>
    <w:rsid w:val="00254173"/>
    <w:rsid w:val="00254904"/>
    <w:rsid w:val="00254B69"/>
    <w:rsid w:val="00255CB8"/>
    <w:rsid w:val="00261001"/>
    <w:rsid w:val="002636AD"/>
    <w:rsid w:val="00266F81"/>
    <w:rsid w:val="00267A56"/>
    <w:rsid w:val="00273554"/>
    <w:rsid w:val="002735AC"/>
    <w:rsid w:val="00273D0C"/>
    <w:rsid w:val="002777B9"/>
    <w:rsid w:val="00277EE3"/>
    <w:rsid w:val="0028224F"/>
    <w:rsid w:val="00282311"/>
    <w:rsid w:val="00284384"/>
    <w:rsid w:val="0028527C"/>
    <w:rsid w:val="002855B6"/>
    <w:rsid w:val="00285C13"/>
    <w:rsid w:val="00290B0A"/>
    <w:rsid w:val="00290E69"/>
    <w:rsid w:val="00291C5F"/>
    <w:rsid w:val="00292035"/>
    <w:rsid w:val="002929C8"/>
    <w:rsid w:val="00293C8A"/>
    <w:rsid w:val="002942B4"/>
    <w:rsid w:val="00295B80"/>
    <w:rsid w:val="00295CA1"/>
    <w:rsid w:val="002963E8"/>
    <w:rsid w:val="00297B66"/>
    <w:rsid w:val="00297EBC"/>
    <w:rsid w:val="002A0EEC"/>
    <w:rsid w:val="002A1F71"/>
    <w:rsid w:val="002A2659"/>
    <w:rsid w:val="002A27E1"/>
    <w:rsid w:val="002A365A"/>
    <w:rsid w:val="002A4DAA"/>
    <w:rsid w:val="002A5AC6"/>
    <w:rsid w:val="002A6AF5"/>
    <w:rsid w:val="002A77BD"/>
    <w:rsid w:val="002B0E9C"/>
    <w:rsid w:val="002B3FDF"/>
    <w:rsid w:val="002B78C6"/>
    <w:rsid w:val="002C0467"/>
    <w:rsid w:val="002C27F3"/>
    <w:rsid w:val="002C4036"/>
    <w:rsid w:val="002C64FF"/>
    <w:rsid w:val="002D0135"/>
    <w:rsid w:val="002D0C32"/>
    <w:rsid w:val="002D0EDA"/>
    <w:rsid w:val="002D127A"/>
    <w:rsid w:val="002D1D78"/>
    <w:rsid w:val="002D2CA3"/>
    <w:rsid w:val="002D2F34"/>
    <w:rsid w:val="002D3713"/>
    <w:rsid w:val="002D3D46"/>
    <w:rsid w:val="002D524F"/>
    <w:rsid w:val="002D71AC"/>
    <w:rsid w:val="002D7A0E"/>
    <w:rsid w:val="002D7E8A"/>
    <w:rsid w:val="002E0EE8"/>
    <w:rsid w:val="002E29C7"/>
    <w:rsid w:val="002E2C76"/>
    <w:rsid w:val="002E4616"/>
    <w:rsid w:val="002E4DE9"/>
    <w:rsid w:val="002E5B92"/>
    <w:rsid w:val="002E7FF3"/>
    <w:rsid w:val="002F022A"/>
    <w:rsid w:val="00301E4F"/>
    <w:rsid w:val="00302F50"/>
    <w:rsid w:val="00303716"/>
    <w:rsid w:val="003038EE"/>
    <w:rsid w:val="00304A19"/>
    <w:rsid w:val="00304CC1"/>
    <w:rsid w:val="003069D1"/>
    <w:rsid w:val="003071DE"/>
    <w:rsid w:val="003126CF"/>
    <w:rsid w:val="00314074"/>
    <w:rsid w:val="00315E2F"/>
    <w:rsid w:val="0031612F"/>
    <w:rsid w:val="003161D2"/>
    <w:rsid w:val="0031689E"/>
    <w:rsid w:val="00317BB9"/>
    <w:rsid w:val="00317E37"/>
    <w:rsid w:val="0032095B"/>
    <w:rsid w:val="003212DE"/>
    <w:rsid w:val="003213A2"/>
    <w:rsid w:val="0032174D"/>
    <w:rsid w:val="00321A26"/>
    <w:rsid w:val="00322A2E"/>
    <w:rsid w:val="00324AF8"/>
    <w:rsid w:val="00324CBD"/>
    <w:rsid w:val="00332B3C"/>
    <w:rsid w:val="00333B02"/>
    <w:rsid w:val="00333D82"/>
    <w:rsid w:val="00336A2E"/>
    <w:rsid w:val="00341508"/>
    <w:rsid w:val="00342558"/>
    <w:rsid w:val="00342E64"/>
    <w:rsid w:val="0034427B"/>
    <w:rsid w:val="00346D06"/>
    <w:rsid w:val="00350B30"/>
    <w:rsid w:val="0035483D"/>
    <w:rsid w:val="00356319"/>
    <w:rsid w:val="0035781F"/>
    <w:rsid w:val="00362111"/>
    <w:rsid w:val="003638AD"/>
    <w:rsid w:val="00366A89"/>
    <w:rsid w:val="00367C23"/>
    <w:rsid w:val="00370A59"/>
    <w:rsid w:val="00371A9C"/>
    <w:rsid w:val="00373D96"/>
    <w:rsid w:val="003741D2"/>
    <w:rsid w:val="00374FBB"/>
    <w:rsid w:val="00375291"/>
    <w:rsid w:val="003769C8"/>
    <w:rsid w:val="003774C0"/>
    <w:rsid w:val="003844F4"/>
    <w:rsid w:val="00384CDD"/>
    <w:rsid w:val="003874DA"/>
    <w:rsid w:val="003904EC"/>
    <w:rsid w:val="00394E75"/>
    <w:rsid w:val="00395D3E"/>
    <w:rsid w:val="00397BDA"/>
    <w:rsid w:val="00397FC0"/>
    <w:rsid w:val="003A1592"/>
    <w:rsid w:val="003A3062"/>
    <w:rsid w:val="003A399A"/>
    <w:rsid w:val="003A555E"/>
    <w:rsid w:val="003A5C98"/>
    <w:rsid w:val="003A5EB0"/>
    <w:rsid w:val="003B492F"/>
    <w:rsid w:val="003B55CB"/>
    <w:rsid w:val="003C12A8"/>
    <w:rsid w:val="003C13F6"/>
    <w:rsid w:val="003C1A6D"/>
    <w:rsid w:val="003C544B"/>
    <w:rsid w:val="003D14BD"/>
    <w:rsid w:val="003D3540"/>
    <w:rsid w:val="003D3867"/>
    <w:rsid w:val="003D71B8"/>
    <w:rsid w:val="003E05AE"/>
    <w:rsid w:val="003E1BA5"/>
    <w:rsid w:val="003E2368"/>
    <w:rsid w:val="003E400C"/>
    <w:rsid w:val="003E58C9"/>
    <w:rsid w:val="003F0644"/>
    <w:rsid w:val="003F0DC8"/>
    <w:rsid w:val="003F2C71"/>
    <w:rsid w:val="003F6520"/>
    <w:rsid w:val="003F6EB4"/>
    <w:rsid w:val="00400337"/>
    <w:rsid w:val="004006A9"/>
    <w:rsid w:val="00401AB3"/>
    <w:rsid w:val="004048BB"/>
    <w:rsid w:val="00410074"/>
    <w:rsid w:val="004103C0"/>
    <w:rsid w:val="00411EA2"/>
    <w:rsid w:val="00412829"/>
    <w:rsid w:val="0041331F"/>
    <w:rsid w:val="00414E06"/>
    <w:rsid w:val="0042075C"/>
    <w:rsid w:val="00423DD7"/>
    <w:rsid w:val="004270EB"/>
    <w:rsid w:val="004274B5"/>
    <w:rsid w:val="004313FF"/>
    <w:rsid w:val="004331D1"/>
    <w:rsid w:val="00436576"/>
    <w:rsid w:val="00440C9A"/>
    <w:rsid w:val="00441568"/>
    <w:rsid w:val="0044170C"/>
    <w:rsid w:val="004459CF"/>
    <w:rsid w:val="00445EC8"/>
    <w:rsid w:val="00447748"/>
    <w:rsid w:val="00451B95"/>
    <w:rsid w:val="0045293E"/>
    <w:rsid w:val="00453F29"/>
    <w:rsid w:val="00455B5B"/>
    <w:rsid w:val="00457EC2"/>
    <w:rsid w:val="00462593"/>
    <w:rsid w:val="00464C3C"/>
    <w:rsid w:val="00465D35"/>
    <w:rsid w:val="0046708A"/>
    <w:rsid w:val="0046725F"/>
    <w:rsid w:val="004702BA"/>
    <w:rsid w:val="004716A5"/>
    <w:rsid w:val="0047213D"/>
    <w:rsid w:val="00472EEA"/>
    <w:rsid w:val="004743B1"/>
    <w:rsid w:val="00474463"/>
    <w:rsid w:val="004806A4"/>
    <w:rsid w:val="0048081B"/>
    <w:rsid w:val="00481A63"/>
    <w:rsid w:val="00482416"/>
    <w:rsid w:val="0048243F"/>
    <w:rsid w:val="00484575"/>
    <w:rsid w:val="0048493E"/>
    <w:rsid w:val="00485718"/>
    <w:rsid w:val="00485BDC"/>
    <w:rsid w:val="004864FE"/>
    <w:rsid w:val="00486564"/>
    <w:rsid w:val="00492760"/>
    <w:rsid w:val="00492C5F"/>
    <w:rsid w:val="00493DB6"/>
    <w:rsid w:val="004948EC"/>
    <w:rsid w:val="00494A2A"/>
    <w:rsid w:val="00495459"/>
    <w:rsid w:val="0049609E"/>
    <w:rsid w:val="00496F3B"/>
    <w:rsid w:val="00496F5A"/>
    <w:rsid w:val="004A0787"/>
    <w:rsid w:val="004A0E5C"/>
    <w:rsid w:val="004A107F"/>
    <w:rsid w:val="004A1ECF"/>
    <w:rsid w:val="004A288E"/>
    <w:rsid w:val="004A36F8"/>
    <w:rsid w:val="004B0469"/>
    <w:rsid w:val="004B2E98"/>
    <w:rsid w:val="004B4146"/>
    <w:rsid w:val="004B46FA"/>
    <w:rsid w:val="004B4B07"/>
    <w:rsid w:val="004B718A"/>
    <w:rsid w:val="004C2057"/>
    <w:rsid w:val="004C2E81"/>
    <w:rsid w:val="004C4043"/>
    <w:rsid w:val="004C54FD"/>
    <w:rsid w:val="004C5F13"/>
    <w:rsid w:val="004D1582"/>
    <w:rsid w:val="004D1A0C"/>
    <w:rsid w:val="004D2050"/>
    <w:rsid w:val="004D2769"/>
    <w:rsid w:val="004D4E5A"/>
    <w:rsid w:val="004D6CEB"/>
    <w:rsid w:val="004E2A8E"/>
    <w:rsid w:val="004E4971"/>
    <w:rsid w:val="004E5875"/>
    <w:rsid w:val="004E5DF7"/>
    <w:rsid w:val="004F0E09"/>
    <w:rsid w:val="004F43EC"/>
    <w:rsid w:val="004F4E25"/>
    <w:rsid w:val="004F6FC4"/>
    <w:rsid w:val="004F765F"/>
    <w:rsid w:val="004F76B5"/>
    <w:rsid w:val="005005B5"/>
    <w:rsid w:val="00500B45"/>
    <w:rsid w:val="00504A0F"/>
    <w:rsid w:val="005060A3"/>
    <w:rsid w:val="00510986"/>
    <w:rsid w:val="00517B6E"/>
    <w:rsid w:val="005201B1"/>
    <w:rsid w:val="005225B4"/>
    <w:rsid w:val="0052279B"/>
    <w:rsid w:val="0052391F"/>
    <w:rsid w:val="005265E3"/>
    <w:rsid w:val="00532A09"/>
    <w:rsid w:val="00533292"/>
    <w:rsid w:val="00534F65"/>
    <w:rsid w:val="005406FE"/>
    <w:rsid w:val="00542386"/>
    <w:rsid w:val="00544352"/>
    <w:rsid w:val="005452F3"/>
    <w:rsid w:val="00546B87"/>
    <w:rsid w:val="005471A5"/>
    <w:rsid w:val="0054721A"/>
    <w:rsid w:val="00547368"/>
    <w:rsid w:val="00547D89"/>
    <w:rsid w:val="00550CD8"/>
    <w:rsid w:val="005512E5"/>
    <w:rsid w:val="00551DED"/>
    <w:rsid w:val="00554DD9"/>
    <w:rsid w:val="00555902"/>
    <w:rsid w:val="00555969"/>
    <w:rsid w:val="00563A0E"/>
    <w:rsid w:val="00564AA0"/>
    <w:rsid w:val="005655E3"/>
    <w:rsid w:val="00566356"/>
    <w:rsid w:val="00567D99"/>
    <w:rsid w:val="00570A89"/>
    <w:rsid w:val="00573C6B"/>
    <w:rsid w:val="00574B49"/>
    <w:rsid w:val="005818D0"/>
    <w:rsid w:val="0058495F"/>
    <w:rsid w:val="00587FF1"/>
    <w:rsid w:val="0059096D"/>
    <w:rsid w:val="00590AC7"/>
    <w:rsid w:val="0059116A"/>
    <w:rsid w:val="005914B3"/>
    <w:rsid w:val="00593DFB"/>
    <w:rsid w:val="00597524"/>
    <w:rsid w:val="00597F42"/>
    <w:rsid w:val="005A08BD"/>
    <w:rsid w:val="005A0CB4"/>
    <w:rsid w:val="005A16FD"/>
    <w:rsid w:val="005A1903"/>
    <w:rsid w:val="005A2596"/>
    <w:rsid w:val="005A5B7D"/>
    <w:rsid w:val="005A786D"/>
    <w:rsid w:val="005A7D1A"/>
    <w:rsid w:val="005B42BA"/>
    <w:rsid w:val="005B468C"/>
    <w:rsid w:val="005B4E9A"/>
    <w:rsid w:val="005B7B98"/>
    <w:rsid w:val="005C0366"/>
    <w:rsid w:val="005C0D1D"/>
    <w:rsid w:val="005C236A"/>
    <w:rsid w:val="005C28F6"/>
    <w:rsid w:val="005C37CC"/>
    <w:rsid w:val="005C4515"/>
    <w:rsid w:val="005D0480"/>
    <w:rsid w:val="005D1A70"/>
    <w:rsid w:val="005D24F3"/>
    <w:rsid w:val="005D5BCB"/>
    <w:rsid w:val="005E0249"/>
    <w:rsid w:val="005E076C"/>
    <w:rsid w:val="005E0C61"/>
    <w:rsid w:val="005E0E50"/>
    <w:rsid w:val="005E1645"/>
    <w:rsid w:val="005E7C34"/>
    <w:rsid w:val="005F01E1"/>
    <w:rsid w:val="005F0253"/>
    <w:rsid w:val="005F1660"/>
    <w:rsid w:val="005F2217"/>
    <w:rsid w:val="005F2DB0"/>
    <w:rsid w:val="005F4894"/>
    <w:rsid w:val="005F68BE"/>
    <w:rsid w:val="006007A9"/>
    <w:rsid w:val="00601A66"/>
    <w:rsid w:val="0060354D"/>
    <w:rsid w:val="006037EA"/>
    <w:rsid w:val="00605A19"/>
    <w:rsid w:val="00605C94"/>
    <w:rsid w:val="00606C34"/>
    <w:rsid w:val="00611A8E"/>
    <w:rsid w:val="006128D8"/>
    <w:rsid w:val="00613493"/>
    <w:rsid w:val="00614282"/>
    <w:rsid w:val="0062295B"/>
    <w:rsid w:val="00624922"/>
    <w:rsid w:val="0063018F"/>
    <w:rsid w:val="006326E2"/>
    <w:rsid w:val="006328F3"/>
    <w:rsid w:val="00632A86"/>
    <w:rsid w:val="00632BB0"/>
    <w:rsid w:val="00634B47"/>
    <w:rsid w:val="00635A8C"/>
    <w:rsid w:val="006372AA"/>
    <w:rsid w:val="006423B5"/>
    <w:rsid w:val="00645BB3"/>
    <w:rsid w:val="0064681B"/>
    <w:rsid w:val="00646C31"/>
    <w:rsid w:val="00651268"/>
    <w:rsid w:val="00652770"/>
    <w:rsid w:val="00655AB8"/>
    <w:rsid w:val="0065713D"/>
    <w:rsid w:val="00657294"/>
    <w:rsid w:val="00657F23"/>
    <w:rsid w:val="00660622"/>
    <w:rsid w:val="0066151E"/>
    <w:rsid w:val="0066179A"/>
    <w:rsid w:val="00661A1F"/>
    <w:rsid w:val="00661C6D"/>
    <w:rsid w:val="006627DB"/>
    <w:rsid w:val="00663122"/>
    <w:rsid w:val="00663E84"/>
    <w:rsid w:val="006660E4"/>
    <w:rsid w:val="00666113"/>
    <w:rsid w:val="00666A0A"/>
    <w:rsid w:val="006671DF"/>
    <w:rsid w:val="006706E5"/>
    <w:rsid w:val="006715D0"/>
    <w:rsid w:val="00672AF3"/>
    <w:rsid w:val="0067481D"/>
    <w:rsid w:val="00676F64"/>
    <w:rsid w:val="00677F21"/>
    <w:rsid w:val="0068012E"/>
    <w:rsid w:val="00683D07"/>
    <w:rsid w:val="00684D18"/>
    <w:rsid w:val="00687C4F"/>
    <w:rsid w:val="00690320"/>
    <w:rsid w:val="00691448"/>
    <w:rsid w:val="006972BA"/>
    <w:rsid w:val="006977C1"/>
    <w:rsid w:val="006B18AB"/>
    <w:rsid w:val="006B2C42"/>
    <w:rsid w:val="006B354E"/>
    <w:rsid w:val="006B3EE1"/>
    <w:rsid w:val="006B679A"/>
    <w:rsid w:val="006C4D02"/>
    <w:rsid w:val="006C6D04"/>
    <w:rsid w:val="006D1F78"/>
    <w:rsid w:val="006D459B"/>
    <w:rsid w:val="006D45D7"/>
    <w:rsid w:val="006D61F3"/>
    <w:rsid w:val="006D7046"/>
    <w:rsid w:val="006D7D16"/>
    <w:rsid w:val="006E0685"/>
    <w:rsid w:val="006E3330"/>
    <w:rsid w:val="006E414D"/>
    <w:rsid w:val="006E5F49"/>
    <w:rsid w:val="006E6AE7"/>
    <w:rsid w:val="006E6B06"/>
    <w:rsid w:val="006E7261"/>
    <w:rsid w:val="006F0E01"/>
    <w:rsid w:val="006F1E84"/>
    <w:rsid w:val="006F40F7"/>
    <w:rsid w:val="00701F34"/>
    <w:rsid w:val="00704C3B"/>
    <w:rsid w:val="00704E0B"/>
    <w:rsid w:val="00704FBF"/>
    <w:rsid w:val="00705126"/>
    <w:rsid w:val="0070570E"/>
    <w:rsid w:val="00706330"/>
    <w:rsid w:val="0070714A"/>
    <w:rsid w:val="007100B3"/>
    <w:rsid w:val="00710864"/>
    <w:rsid w:val="00713FDA"/>
    <w:rsid w:val="00716F52"/>
    <w:rsid w:val="00717891"/>
    <w:rsid w:val="00717A87"/>
    <w:rsid w:val="007200DD"/>
    <w:rsid w:val="0072114E"/>
    <w:rsid w:val="0072144E"/>
    <w:rsid w:val="007231A0"/>
    <w:rsid w:val="00723350"/>
    <w:rsid w:val="007236FC"/>
    <w:rsid w:val="00723B95"/>
    <w:rsid w:val="00723F43"/>
    <w:rsid w:val="007276BB"/>
    <w:rsid w:val="00734076"/>
    <w:rsid w:val="00734DAC"/>
    <w:rsid w:val="00734E62"/>
    <w:rsid w:val="007350A7"/>
    <w:rsid w:val="00735857"/>
    <w:rsid w:val="00736A4A"/>
    <w:rsid w:val="00740995"/>
    <w:rsid w:val="007414D4"/>
    <w:rsid w:val="00741E53"/>
    <w:rsid w:val="00741E60"/>
    <w:rsid w:val="00742069"/>
    <w:rsid w:val="0074328A"/>
    <w:rsid w:val="00744F5F"/>
    <w:rsid w:val="00747CCB"/>
    <w:rsid w:val="0075133A"/>
    <w:rsid w:val="00753441"/>
    <w:rsid w:val="00753E1A"/>
    <w:rsid w:val="007543A4"/>
    <w:rsid w:val="00756C8A"/>
    <w:rsid w:val="00761FB1"/>
    <w:rsid w:val="00762D15"/>
    <w:rsid w:val="007643A8"/>
    <w:rsid w:val="00767338"/>
    <w:rsid w:val="00770829"/>
    <w:rsid w:val="007720FD"/>
    <w:rsid w:val="007735FA"/>
    <w:rsid w:val="00774199"/>
    <w:rsid w:val="00774509"/>
    <w:rsid w:val="00774C64"/>
    <w:rsid w:val="00775C5B"/>
    <w:rsid w:val="00776084"/>
    <w:rsid w:val="00776A65"/>
    <w:rsid w:val="00781621"/>
    <w:rsid w:val="00781B1D"/>
    <w:rsid w:val="0078633A"/>
    <w:rsid w:val="00786E41"/>
    <w:rsid w:val="00787296"/>
    <w:rsid w:val="007877C9"/>
    <w:rsid w:val="00790750"/>
    <w:rsid w:val="00791B61"/>
    <w:rsid w:val="00791D68"/>
    <w:rsid w:val="00792B5D"/>
    <w:rsid w:val="007969FB"/>
    <w:rsid w:val="007A0D4D"/>
    <w:rsid w:val="007A0E50"/>
    <w:rsid w:val="007A1D28"/>
    <w:rsid w:val="007A4226"/>
    <w:rsid w:val="007A59D1"/>
    <w:rsid w:val="007A797A"/>
    <w:rsid w:val="007B157D"/>
    <w:rsid w:val="007B166F"/>
    <w:rsid w:val="007B24F3"/>
    <w:rsid w:val="007B3180"/>
    <w:rsid w:val="007B52DA"/>
    <w:rsid w:val="007B6F03"/>
    <w:rsid w:val="007C0D3B"/>
    <w:rsid w:val="007C187A"/>
    <w:rsid w:val="007C3F33"/>
    <w:rsid w:val="007D25EC"/>
    <w:rsid w:val="007D2F86"/>
    <w:rsid w:val="007D3BB4"/>
    <w:rsid w:val="007D403C"/>
    <w:rsid w:val="007D4EF0"/>
    <w:rsid w:val="007D615A"/>
    <w:rsid w:val="007D6888"/>
    <w:rsid w:val="007D6999"/>
    <w:rsid w:val="007D7148"/>
    <w:rsid w:val="007E4066"/>
    <w:rsid w:val="007E6A13"/>
    <w:rsid w:val="007F3658"/>
    <w:rsid w:val="007F656D"/>
    <w:rsid w:val="00802C1C"/>
    <w:rsid w:val="008068E5"/>
    <w:rsid w:val="00811E90"/>
    <w:rsid w:val="00812622"/>
    <w:rsid w:val="00812B54"/>
    <w:rsid w:val="00813BBC"/>
    <w:rsid w:val="008148A4"/>
    <w:rsid w:val="00815F38"/>
    <w:rsid w:val="008215DD"/>
    <w:rsid w:val="00821A6E"/>
    <w:rsid w:val="008223C4"/>
    <w:rsid w:val="0082346A"/>
    <w:rsid w:val="00823DEA"/>
    <w:rsid w:val="00824BD7"/>
    <w:rsid w:val="00827336"/>
    <w:rsid w:val="00827D1A"/>
    <w:rsid w:val="0083139F"/>
    <w:rsid w:val="008410B8"/>
    <w:rsid w:val="00843188"/>
    <w:rsid w:val="008439FC"/>
    <w:rsid w:val="00844360"/>
    <w:rsid w:val="00845164"/>
    <w:rsid w:val="00845FFE"/>
    <w:rsid w:val="00846187"/>
    <w:rsid w:val="008464EB"/>
    <w:rsid w:val="008501CA"/>
    <w:rsid w:val="00850BD6"/>
    <w:rsid w:val="00850E15"/>
    <w:rsid w:val="00850E96"/>
    <w:rsid w:val="008529E4"/>
    <w:rsid w:val="008556AE"/>
    <w:rsid w:val="00861C8C"/>
    <w:rsid w:val="008627E6"/>
    <w:rsid w:val="00862C80"/>
    <w:rsid w:val="00866396"/>
    <w:rsid w:val="00866FEE"/>
    <w:rsid w:val="008673CA"/>
    <w:rsid w:val="00867C9F"/>
    <w:rsid w:val="00872C0C"/>
    <w:rsid w:val="00874801"/>
    <w:rsid w:val="00876285"/>
    <w:rsid w:val="00876AF2"/>
    <w:rsid w:val="00876EF5"/>
    <w:rsid w:val="00877334"/>
    <w:rsid w:val="00881291"/>
    <w:rsid w:val="008830F3"/>
    <w:rsid w:val="0088414F"/>
    <w:rsid w:val="00884208"/>
    <w:rsid w:val="00884568"/>
    <w:rsid w:val="00885D87"/>
    <w:rsid w:val="00890132"/>
    <w:rsid w:val="00892958"/>
    <w:rsid w:val="008975E9"/>
    <w:rsid w:val="008A04AE"/>
    <w:rsid w:val="008A39F1"/>
    <w:rsid w:val="008A4E0B"/>
    <w:rsid w:val="008A6F74"/>
    <w:rsid w:val="008B18EC"/>
    <w:rsid w:val="008B1CF5"/>
    <w:rsid w:val="008B3F89"/>
    <w:rsid w:val="008B51B6"/>
    <w:rsid w:val="008B5444"/>
    <w:rsid w:val="008B59C3"/>
    <w:rsid w:val="008B789A"/>
    <w:rsid w:val="008B7A5D"/>
    <w:rsid w:val="008C095F"/>
    <w:rsid w:val="008C24CA"/>
    <w:rsid w:val="008C3A81"/>
    <w:rsid w:val="008C69AD"/>
    <w:rsid w:val="008C7A96"/>
    <w:rsid w:val="008D0C70"/>
    <w:rsid w:val="008D4086"/>
    <w:rsid w:val="008D4B5C"/>
    <w:rsid w:val="008D5BB1"/>
    <w:rsid w:val="008D6CD7"/>
    <w:rsid w:val="008D7071"/>
    <w:rsid w:val="008D71BD"/>
    <w:rsid w:val="008D7BBF"/>
    <w:rsid w:val="008E4671"/>
    <w:rsid w:val="008E659F"/>
    <w:rsid w:val="008E6F3E"/>
    <w:rsid w:val="008F3001"/>
    <w:rsid w:val="008F4415"/>
    <w:rsid w:val="008F523A"/>
    <w:rsid w:val="008F677D"/>
    <w:rsid w:val="00900B9A"/>
    <w:rsid w:val="009011BF"/>
    <w:rsid w:val="00903D19"/>
    <w:rsid w:val="00903D79"/>
    <w:rsid w:val="009049AB"/>
    <w:rsid w:val="00905F1F"/>
    <w:rsid w:val="00906B95"/>
    <w:rsid w:val="0090764A"/>
    <w:rsid w:val="00911AD6"/>
    <w:rsid w:val="009142C0"/>
    <w:rsid w:val="009170E2"/>
    <w:rsid w:val="009240DB"/>
    <w:rsid w:val="00925742"/>
    <w:rsid w:val="00925C25"/>
    <w:rsid w:val="0092655A"/>
    <w:rsid w:val="00927689"/>
    <w:rsid w:val="009306E9"/>
    <w:rsid w:val="009309FB"/>
    <w:rsid w:val="00932D7E"/>
    <w:rsid w:val="00932F4F"/>
    <w:rsid w:val="00933338"/>
    <w:rsid w:val="009335C0"/>
    <w:rsid w:val="00933735"/>
    <w:rsid w:val="00933AEA"/>
    <w:rsid w:val="00935E2C"/>
    <w:rsid w:val="00936FE1"/>
    <w:rsid w:val="0094034A"/>
    <w:rsid w:val="00942409"/>
    <w:rsid w:val="00944536"/>
    <w:rsid w:val="0094579E"/>
    <w:rsid w:val="00946648"/>
    <w:rsid w:val="009555BC"/>
    <w:rsid w:val="00956231"/>
    <w:rsid w:val="009604D9"/>
    <w:rsid w:val="0096070F"/>
    <w:rsid w:val="00962EE7"/>
    <w:rsid w:val="00963891"/>
    <w:rsid w:val="0096471A"/>
    <w:rsid w:val="00966547"/>
    <w:rsid w:val="0097045E"/>
    <w:rsid w:val="00970985"/>
    <w:rsid w:val="00970A64"/>
    <w:rsid w:val="00971993"/>
    <w:rsid w:val="00972225"/>
    <w:rsid w:val="009742EB"/>
    <w:rsid w:val="009745F8"/>
    <w:rsid w:val="00974903"/>
    <w:rsid w:val="00974ECC"/>
    <w:rsid w:val="00975FC0"/>
    <w:rsid w:val="0097768D"/>
    <w:rsid w:val="00981930"/>
    <w:rsid w:val="009826BC"/>
    <w:rsid w:val="00982B66"/>
    <w:rsid w:val="00983787"/>
    <w:rsid w:val="00983A20"/>
    <w:rsid w:val="0098425F"/>
    <w:rsid w:val="0098569E"/>
    <w:rsid w:val="00986464"/>
    <w:rsid w:val="00993CCA"/>
    <w:rsid w:val="00994A5B"/>
    <w:rsid w:val="009950C0"/>
    <w:rsid w:val="0099660E"/>
    <w:rsid w:val="00997405"/>
    <w:rsid w:val="009A004A"/>
    <w:rsid w:val="009A1918"/>
    <w:rsid w:val="009A2D06"/>
    <w:rsid w:val="009A2E22"/>
    <w:rsid w:val="009A3491"/>
    <w:rsid w:val="009A382D"/>
    <w:rsid w:val="009A4A8B"/>
    <w:rsid w:val="009A666E"/>
    <w:rsid w:val="009B18E0"/>
    <w:rsid w:val="009B1AFF"/>
    <w:rsid w:val="009B260E"/>
    <w:rsid w:val="009B3638"/>
    <w:rsid w:val="009B51B1"/>
    <w:rsid w:val="009B58D1"/>
    <w:rsid w:val="009B7ED8"/>
    <w:rsid w:val="009C0BA8"/>
    <w:rsid w:val="009C1969"/>
    <w:rsid w:val="009C21F3"/>
    <w:rsid w:val="009C2AA0"/>
    <w:rsid w:val="009C2CC4"/>
    <w:rsid w:val="009C609E"/>
    <w:rsid w:val="009C66BC"/>
    <w:rsid w:val="009D0745"/>
    <w:rsid w:val="009D1C13"/>
    <w:rsid w:val="009D287F"/>
    <w:rsid w:val="009D3497"/>
    <w:rsid w:val="009E0269"/>
    <w:rsid w:val="009E6723"/>
    <w:rsid w:val="009E6BFC"/>
    <w:rsid w:val="009E7637"/>
    <w:rsid w:val="009F1555"/>
    <w:rsid w:val="009F322C"/>
    <w:rsid w:val="009F3ACA"/>
    <w:rsid w:val="009F74CC"/>
    <w:rsid w:val="009F763F"/>
    <w:rsid w:val="00A0018F"/>
    <w:rsid w:val="00A01314"/>
    <w:rsid w:val="00A01816"/>
    <w:rsid w:val="00A043BC"/>
    <w:rsid w:val="00A04DE8"/>
    <w:rsid w:val="00A07490"/>
    <w:rsid w:val="00A079E8"/>
    <w:rsid w:val="00A10AEB"/>
    <w:rsid w:val="00A10B62"/>
    <w:rsid w:val="00A12E80"/>
    <w:rsid w:val="00A1358D"/>
    <w:rsid w:val="00A13753"/>
    <w:rsid w:val="00A148E5"/>
    <w:rsid w:val="00A15501"/>
    <w:rsid w:val="00A16238"/>
    <w:rsid w:val="00A20593"/>
    <w:rsid w:val="00A2108C"/>
    <w:rsid w:val="00A21E8C"/>
    <w:rsid w:val="00A21F8E"/>
    <w:rsid w:val="00A23AA4"/>
    <w:rsid w:val="00A2500B"/>
    <w:rsid w:val="00A25C8A"/>
    <w:rsid w:val="00A264B1"/>
    <w:rsid w:val="00A26AA8"/>
    <w:rsid w:val="00A27D67"/>
    <w:rsid w:val="00A325E3"/>
    <w:rsid w:val="00A32D41"/>
    <w:rsid w:val="00A40A5C"/>
    <w:rsid w:val="00A43C2E"/>
    <w:rsid w:val="00A44F9A"/>
    <w:rsid w:val="00A50CB7"/>
    <w:rsid w:val="00A52DF7"/>
    <w:rsid w:val="00A530EF"/>
    <w:rsid w:val="00A541D6"/>
    <w:rsid w:val="00A571A6"/>
    <w:rsid w:val="00A60080"/>
    <w:rsid w:val="00A60609"/>
    <w:rsid w:val="00A611BE"/>
    <w:rsid w:val="00A65EB3"/>
    <w:rsid w:val="00A67114"/>
    <w:rsid w:val="00A74F30"/>
    <w:rsid w:val="00A761F8"/>
    <w:rsid w:val="00A7643F"/>
    <w:rsid w:val="00A765CE"/>
    <w:rsid w:val="00A80379"/>
    <w:rsid w:val="00A812E4"/>
    <w:rsid w:val="00A82558"/>
    <w:rsid w:val="00A85CA4"/>
    <w:rsid w:val="00A860C7"/>
    <w:rsid w:val="00A86FC1"/>
    <w:rsid w:val="00A9288E"/>
    <w:rsid w:val="00A92EB1"/>
    <w:rsid w:val="00A94095"/>
    <w:rsid w:val="00A97D9D"/>
    <w:rsid w:val="00AA371E"/>
    <w:rsid w:val="00AA6A69"/>
    <w:rsid w:val="00AA750B"/>
    <w:rsid w:val="00AB0790"/>
    <w:rsid w:val="00AC26F1"/>
    <w:rsid w:val="00AC3A0F"/>
    <w:rsid w:val="00AC3DC1"/>
    <w:rsid w:val="00AC57D6"/>
    <w:rsid w:val="00AC61E5"/>
    <w:rsid w:val="00AC6347"/>
    <w:rsid w:val="00AC7729"/>
    <w:rsid w:val="00AD25FF"/>
    <w:rsid w:val="00AD41FA"/>
    <w:rsid w:val="00AE0D97"/>
    <w:rsid w:val="00AE2ABF"/>
    <w:rsid w:val="00AE4955"/>
    <w:rsid w:val="00AE57F8"/>
    <w:rsid w:val="00AF047A"/>
    <w:rsid w:val="00AF237A"/>
    <w:rsid w:val="00AF685B"/>
    <w:rsid w:val="00B00C44"/>
    <w:rsid w:val="00B02FEB"/>
    <w:rsid w:val="00B056A5"/>
    <w:rsid w:val="00B05C25"/>
    <w:rsid w:val="00B1361F"/>
    <w:rsid w:val="00B13664"/>
    <w:rsid w:val="00B145BA"/>
    <w:rsid w:val="00B14A3C"/>
    <w:rsid w:val="00B15D71"/>
    <w:rsid w:val="00B22579"/>
    <w:rsid w:val="00B23BD6"/>
    <w:rsid w:val="00B278E5"/>
    <w:rsid w:val="00B30299"/>
    <w:rsid w:val="00B32B74"/>
    <w:rsid w:val="00B42BAC"/>
    <w:rsid w:val="00B439E1"/>
    <w:rsid w:val="00B4636A"/>
    <w:rsid w:val="00B46FC9"/>
    <w:rsid w:val="00B52F26"/>
    <w:rsid w:val="00B53956"/>
    <w:rsid w:val="00B53A2A"/>
    <w:rsid w:val="00B573A0"/>
    <w:rsid w:val="00B636F1"/>
    <w:rsid w:val="00B720C6"/>
    <w:rsid w:val="00B729BC"/>
    <w:rsid w:val="00B739AE"/>
    <w:rsid w:val="00B7402F"/>
    <w:rsid w:val="00B740A2"/>
    <w:rsid w:val="00B75DBA"/>
    <w:rsid w:val="00B80C3A"/>
    <w:rsid w:val="00B80D52"/>
    <w:rsid w:val="00B82940"/>
    <w:rsid w:val="00B82CD4"/>
    <w:rsid w:val="00B82CFE"/>
    <w:rsid w:val="00B84C62"/>
    <w:rsid w:val="00B86E25"/>
    <w:rsid w:val="00B87290"/>
    <w:rsid w:val="00B87EF6"/>
    <w:rsid w:val="00B91690"/>
    <w:rsid w:val="00B95123"/>
    <w:rsid w:val="00B96B84"/>
    <w:rsid w:val="00BA27F1"/>
    <w:rsid w:val="00BA3D40"/>
    <w:rsid w:val="00BA4D6F"/>
    <w:rsid w:val="00BA4F93"/>
    <w:rsid w:val="00BA5B04"/>
    <w:rsid w:val="00BA69BD"/>
    <w:rsid w:val="00BB02EC"/>
    <w:rsid w:val="00BB11AF"/>
    <w:rsid w:val="00BB26F6"/>
    <w:rsid w:val="00BB2D27"/>
    <w:rsid w:val="00BB3FCD"/>
    <w:rsid w:val="00BB4B69"/>
    <w:rsid w:val="00BB58D2"/>
    <w:rsid w:val="00BB6E2D"/>
    <w:rsid w:val="00BC0104"/>
    <w:rsid w:val="00BC10F5"/>
    <w:rsid w:val="00BC1CAC"/>
    <w:rsid w:val="00BC33EF"/>
    <w:rsid w:val="00BC468F"/>
    <w:rsid w:val="00BC4D46"/>
    <w:rsid w:val="00BC5018"/>
    <w:rsid w:val="00BC5DF1"/>
    <w:rsid w:val="00BC65A6"/>
    <w:rsid w:val="00BC6E70"/>
    <w:rsid w:val="00BD0796"/>
    <w:rsid w:val="00BD20FD"/>
    <w:rsid w:val="00BD2AA5"/>
    <w:rsid w:val="00BD3215"/>
    <w:rsid w:val="00BD35D3"/>
    <w:rsid w:val="00BD514D"/>
    <w:rsid w:val="00BD6C6B"/>
    <w:rsid w:val="00BE0CE7"/>
    <w:rsid w:val="00BE2495"/>
    <w:rsid w:val="00BE346C"/>
    <w:rsid w:val="00BE687A"/>
    <w:rsid w:val="00BE7689"/>
    <w:rsid w:val="00BE7CD1"/>
    <w:rsid w:val="00BE7E8E"/>
    <w:rsid w:val="00BF0C2A"/>
    <w:rsid w:val="00BF22EF"/>
    <w:rsid w:val="00BF2993"/>
    <w:rsid w:val="00BF55BC"/>
    <w:rsid w:val="00BF72E1"/>
    <w:rsid w:val="00BF786A"/>
    <w:rsid w:val="00C009D7"/>
    <w:rsid w:val="00C00C09"/>
    <w:rsid w:val="00C02E8F"/>
    <w:rsid w:val="00C03FCB"/>
    <w:rsid w:val="00C060FF"/>
    <w:rsid w:val="00C1039E"/>
    <w:rsid w:val="00C10A97"/>
    <w:rsid w:val="00C1193D"/>
    <w:rsid w:val="00C13618"/>
    <w:rsid w:val="00C13A87"/>
    <w:rsid w:val="00C168AB"/>
    <w:rsid w:val="00C211F5"/>
    <w:rsid w:val="00C2386F"/>
    <w:rsid w:val="00C26646"/>
    <w:rsid w:val="00C27518"/>
    <w:rsid w:val="00C27607"/>
    <w:rsid w:val="00C30CE7"/>
    <w:rsid w:val="00C32722"/>
    <w:rsid w:val="00C3463B"/>
    <w:rsid w:val="00C34F82"/>
    <w:rsid w:val="00C35EC0"/>
    <w:rsid w:val="00C4029E"/>
    <w:rsid w:val="00C403DD"/>
    <w:rsid w:val="00C41C38"/>
    <w:rsid w:val="00C52007"/>
    <w:rsid w:val="00C52F3E"/>
    <w:rsid w:val="00C57705"/>
    <w:rsid w:val="00C62640"/>
    <w:rsid w:val="00C62850"/>
    <w:rsid w:val="00C62893"/>
    <w:rsid w:val="00C6291E"/>
    <w:rsid w:val="00C630B6"/>
    <w:rsid w:val="00C6430A"/>
    <w:rsid w:val="00C64B2C"/>
    <w:rsid w:val="00C658FA"/>
    <w:rsid w:val="00C6596D"/>
    <w:rsid w:val="00C659F5"/>
    <w:rsid w:val="00C65A71"/>
    <w:rsid w:val="00C70B52"/>
    <w:rsid w:val="00C72E17"/>
    <w:rsid w:val="00C74844"/>
    <w:rsid w:val="00C75F0F"/>
    <w:rsid w:val="00C76F5F"/>
    <w:rsid w:val="00C77523"/>
    <w:rsid w:val="00C8128B"/>
    <w:rsid w:val="00C81B6D"/>
    <w:rsid w:val="00C83DE6"/>
    <w:rsid w:val="00C8558E"/>
    <w:rsid w:val="00C868F4"/>
    <w:rsid w:val="00C904D6"/>
    <w:rsid w:val="00C90BC1"/>
    <w:rsid w:val="00C91E09"/>
    <w:rsid w:val="00C93A03"/>
    <w:rsid w:val="00CA1765"/>
    <w:rsid w:val="00CA2051"/>
    <w:rsid w:val="00CA2175"/>
    <w:rsid w:val="00CA4660"/>
    <w:rsid w:val="00CA5D6A"/>
    <w:rsid w:val="00CA6ADA"/>
    <w:rsid w:val="00CA7EED"/>
    <w:rsid w:val="00CB09A6"/>
    <w:rsid w:val="00CB0D43"/>
    <w:rsid w:val="00CB1FEB"/>
    <w:rsid w:val="00CB5908"/>
    <w:rsid w:val="00CB6DF1"/>
    <w:rsid w:val="00CB7BE8"/>
    <w:rsid w:val="00CB7FEB"/>
    <w:rsid w:val="00CC1347"/>
    <w:rsid w:val="00CC334C"/>
    <w:rsid w:val="00CC3DF1"/>
    <w:rsid w:val="00CC5472"/>
    <w:rsid w:val="00CC7EC3"/>
    <w:rsid w:val="00CD056A"/>
    <w:rsid w:val="00CD231F"/>
    <w:rsid w:val="00CD2A7C"/>
    <w:rsid w:val="00CD3E72"/>
    <w:rsid w:val="00CD3F12"/>
    <w:rsid w:val="00CD6419"/>
    <w:rsid w:val="00CE1BDE"/>
    <w:rsid w:val="00CE702E"/>
    <w:rsid w:val="00CE7341"/>
    <w:rsid w:val="00CE734A"/>
    <w:rsid w:val="00CE76E7"/>
    <w:rsid w:val="00CF0E35"/>
    <w:rsid w:val="00CF16B7"/>
    <w:rsid w:val="00CF1C2D"/>
    <w:rsid w:val="00CF62A9"/>
    <w:rsid w:val="00CF7BA3"/>
    <w:rsid w:val="00D003D2"/>
    <w:rsid w:val="00D008A5"/>
    <w:rsid w:val="00D009FD"/>
    <w:rsid w:val="00D02861"/>
    <w:rsid w:val="00D030EE"/>
    <w:rsid w:val="00D0411A"/>
    <w:rsid w:val="00D04C8F"/>
    <w:rsid w:val="00D05480"/>
    <w:rsid w:val="00D074B3"/>
    <w:rsid w:val="00D11264"/>
    <w:rsid w:val="00D1140E"/>
    <w:rsid w:val="00D12D29"/>
    <w:rsid w:val="00D12D3E"/>
    <w:rsid w:val="00D20399"/>
    <w:rsid w:val="00D21C4D"/>
    <w:rsid w:val="00D241CC"/>
    <w:rsid w:val="00D24AB6"/>
    <w:rsid w:val="00D25B2B"/>
    <w:rsid w:val="00D25FE7"/>
    <w:rsid w:val="00D325D2"/>
    <w:rsid w:val="00D33E90"/>
    <w:rsid w:val="00D35105"/>
    <w:rsid w:val="00D35D77"/>
    <w:rsid w:val="00D403A6"/>
    <w:rsid w:val="00D4639D"/>
    <w:rsid w:val="00D46980"/>
    <w:rsid w:val="00D47B8C"/>
    <w:rsid w:val="00D51B0C"/>
    <w:rsid w:val="00D52C99"/>
    <w:rsid w:val="00D53602"/>
    <w:rsid w:val="00D5413E"/>
    <w:rsid w:val="00D55019"/>
    <w:rsid w:val="00D57AEA"/>
    <w:rsid w:val="00D6019C"/>
    <w:rsid w:val="00D6094F"/>
    <w:rsid w:val="00D61920"/>
    <w:rsid w:val="00D61D88"/>
    <w:rsid w:val="00D629B4"/>
    <w:rsid w:val="00D62CAD"/>
    <w:rsid w:val="00D64BF9"/>
    <w:rsid w:val="00D67B73"/>
    <w:rsid w:val="00D67C28"/>
    <w:rsid w:val="00D72FBB"/>
    <w:rsid w:val="00D73CA0"/>
    <w:rsid w:val="00D73D5C"/>
    <w:rsid w:val="00D742C2"/>
    <w:rsid w:val="00D76E3F"/>
    <w:rsid w:val="00D83A7C"/>
    <w:rsid w:val="00D8486B"/>
    <w:rsid w:val="00D84CFF"/>
    <w:rsid w:val="00D85C25"/>
    <w:rsid w:val="00D86DB0"/>
    <w:rsid w:val="00D87145"/>
    <w:rsid w:val="00D9090E"/>
    <w:rsid w:val="00D91627"/>
    <w:rsid w:val="00D920D6"/>
    <w:rsid w:val="00D93A0D"/>
    <w:rsid w:val="00D93B24"/>
    <w:rsid w:val="00D9482C"/>
    <w:rsid w:val="00D9519D"/>
    <w:rsid w:val="00D96582"/>
    <w:rsid w:val="00DA058D"/>
    <w:rsid w:val="00DA1E87"/>
    <w:rsid w:val="00DA2C97"/>
    <w:rsid w:val="00DA3A92"/>
    <w:rsid w:val="00DB06BE"/>
    <w:rsid w:val="00DB18B2"/>
    <w:rsid w:val="00DB2777"/>
    <w:rsid w:val="00DB666A"/>
    <w:rsid w:val="00DC12F6"/>
    <w:rsid w:val="00DC19C4"/>
    <w:rsid w:val="00DC1E83"/>
    <w:rsid w:val="00DC4528"/>
    <w:rsid w:val="00DC6B3E"/>
    <w:rsid w:val="00DC6F7A"/>
    <w:rsid w:val="00DD0F3E"/>
    <w:rsid w:val="00DD3C9B"/>
    <w:rsid w:val="00DD6271"/>
    <w:rsid w:val="00DD675B"/>
    <w:rsid w:val="00DD7DE3"/>
    <w:rsid w:val="00DE121E"/>
    <w:rsid w:val="00DE159B"/>
    <w:rsid w:val="00DE2779"/>
    <w:rsid w:val="00DE3AFA"/>
    <w:rsid w:val="00DE5B21"/>
    <w:rsid w:val="00DE5C7D"/>
    <w:rsid w:val="00DE6EF7"/>
    <w:rsid w:val="00DF00D0"/>
    <w:rsid w:val="00DF36A2"/>
    <w:rsid w:val="00DF4BBE"/>
    <w:rsid w:val="00DF78C6"/>
    <w:rsid w:val="00E00A82"/>
    <w:rsid w:val="00E00ABD"/>
    <w:rsid w:val="00E00D3A"/>
    <w:rsid w:val="00E00F2B"/>
    <w:rsid w:val="00E01808"/>
    <w:rsid w:val="00E029CF"/>
    <w:rsid w:val="00E0322A"/>
    <w:rsid w:val="00E05714"/>
    <w:rsid w:val="00E06380"/>
    <w:rsid w:val="00E111B6"/>
    <w:rsid w:val="00E11552"/>
    <w:rsid w:val="00E11CA4"/>
    <w:rsid w:val="00E1201A"/>
    <w:rsid w:val="00E136DD"/>
    <w:rsid w:val="00E14916"/>
    <w:rsid w:val="00E152D8"/>
    <w:rsid w:val="00E16141"/>
    <w:rsid w:val="00E1754A"/>
    <w:rsid w:val="00E21448"/>
    <w:rsid w:val="00E22809"/>
    <w:rsid w:val="00E26ED8"/>
    <w:rsid w:val="00E30407"/>
    <w:rsid w:val="00E34066"/>
    <w:rsid w:val="00E342E4"/>
    <w:rsid w:val="00E344B0"/>
    <w:rsid w:val="00E43CF2"/>
    <w:rsid w:val="00E43E6F"/>
    <w:rsid w:val="00E4482F"/>
    <w:rsid w:val="00E460FF"/>
    <w:rsid w:val="00E50C13"/>
    <w:rsid w:val="00E50C6C"/>
    <w:rsid w:val="00E52D85"/>
    <w:rsid w:val="00E578A1"/>
    <w:rsid w:val="00E63CC0"/>
    <w:rsid w:val="00E6421B"/>
    <w:rsid w:val="00E701AF"/>
    <w:rsid w:val="00E7092D"/>
    <w:rsid w:val="00E72F61"/>
    <w:rsid w:val="00E73290"/>
    <w:rsid w:val="00E76657"/>
    <w:rsid w:val="00E77813"/>
    <w:rsid w:val="00E82218"/>
    <w:rsid w:val="00E82FCD"/>
    <w:rsid w:val="00E835DD"/>
    <w:rsid w:val="00E853D8"/>
    <w:rsid w:val="00E85F76"/>
    <w:rsid w:val="00E86910"/>
    <w:rsid w:val="00E91A25"/>
    <w:rsid w:val="00E91F12"/>
    <w:rsid w:val="00E938ED"/>
    <w:rsid w:val="00E93AA7"/>
    <w:rsid w:val="00E94179"/>
    <w:rsid w:val="00E9422A"/>
    <w:rsid w:val="00E942A7"/>
    <w:rsid w:val="00E94B53"/>
    <w:rsid w:val="00E95750"/>
    <w:rsid w:val="00E974C6"/>
    <w:rsid w:val="00EA03FD"/>
    <w:rsid w:val="00EA10A0"/>
    <w:rsid w:val="00EA4370"/>
    <w:rsid w:val="00EA4883"/>
    <w:rsid w:val="00EA6150"/>
    <w:rsid w:val="00EA682F"/>
    <w:rsid w:val="00EA7C70"/>
    <w:rsid w:val="00EB02ED"/>
    <w:rsid w:val="00EB1083"/>
    <w:rsid w:val="00EB1893"/>
    <w:rsid w:val="00EB1F46"/>
    <w:rsid w:val="00EB3A91"/>
    <w:rsid w:val="00EB4729"/>
    <w:rsid w:val="00EB476C"/>
    <w:rsid w:val="00EB5009"/>
    <w:rsid w:val="00EB5157"/>
    <w:rsid w:val="00EB70CD"/>
    <w:rsid w:val="00EB742A"/>
    <w:rsid w:val="00EB76B8"/>
    <w:rsid w:val="00EC2C66"/>
    <w:rsid w:val="00EC2D1E"/>
    <w:rsid w:val="00EC69DC"/>
    <w:rsid w:val="00ED0B1C"/>
    <w:rsid w:val="00ED699B"/>
    <w:rsid w:val="00EE1B3F"/>
    <w:rsid w:val="00EE287A"/>
    <w:rsid w:val="00EE3538"/>
    <w:rsid w:val="00EE35C0"/>
    <w:rsid w:val="00EE6C66"/>
    <w:rsid w:val="00EF1775"/>
    <w:rsid w:val="00EF1E02"/>
    <w:rsid w:val="00EF3039"/>
    <w:rsid w:val="00EF335C"/>
    <w:rsid w:val="00EF3F42"/>
    <w:rsid w:val="00EF4ECA"/>
    <w:rsid w:val="00EF767E"/>
    <w:rsid w:val="00EF7CAD"/>
    <w:rsid w:val="00F00555"/>
    <w:rsid w:val="00F024E7"/>
    <w:rsid w:val="00F029BA"/>
    <w:rsid w:val="00F061A1"/>
    <w:rsid w:val="00F10681"/>
    <w:rsid w:val="00F11090"/>
    <w:rsid w:val="00F11F7E"/>
    <w:rsid w:val="00F122B2"/>
    <w:rsid w:val="00F13901"/>
    <w:rsid w:val="00F178B3"/>
    <w:rsid w:val="00F20C5E"/>
    <w:rsid w:val="00F2113F"/>
    <w:rsid w:val="00F26AA2"/>
    <w:rsid w:val="00F27D75"/>
    <w:rsid w:val="00F314AF"/>
    <w:rsid w:val="00F348BC"/>
    <w:rsid w:val="00F351F5"/>
    <w:rsid w:val="00F356AA"/>
    <w:rsid w:val="00F36E87"/>
    <w:rsid w:val="00F409C2"/>
    <w:rsid w:val="00F52A65"/>
    <w:rsid w:val="00F52F2C"/>
    <w:rsid w:val="00F533B3"/>
    <w:rsid w:val="00F5359C"/>
    <w:rsid w:val="00F55666"/>
    <w:rsid w:val="00F55FB5"/>
    <w:rsid w:val="00F61BD1"/>
    <w:rsid w:val="00F61E39"/>
    <w:rsid w:val="00F66549"/>
    <w:rsid w:val="00F71BA9"/>
    <w:rsid w:val="00F73564"/>
    <w:rsid w:val="00F735E7"/>
    <w:rsid w:val="00F75214"/>
    <w:rsid w:val="00F75DEE"/>
    <w:rsid w:val="00F77C99"/>
    <w:rsid w:val="00F8449E"/>
    <w:rsid w:val="00F85A23"/>
    <w:rsid w:val="00F86DA1"/>
    <w:rsid w:val="00F871BB"/>
    <w:rsid w:val="00F90386"/>
    <w:rsid w:val="00F931E7"/>
    <w:rsid w:val="00F94293"/>
    <w:rsid w:val="00F94A7F"/>
    <w:rsid w:val="00F965DA"/>
    <w:rsid w:val="00F96C15"/>
    <w:rsid w:val="00FA205A"/>
    <w:rsid w:val="00FA27DD"/>
    <w:rsid w:val="00FA50A5"/>
    <w:rsid w:val="00FB0492"/>
    <w:rsid w:val="00FB3A17"/>
    <w:rsid w:val="00FC04E3"/>
    <w:rsid w:val="00FC1384"/>
    <w:rsid w:val="00FC2B09"/>
    <w:rsid w:val="00FD11CF"/>
    <w:rsid w:val="00FD194D"/>
    <w:rsid w:val="00FD3A3F"/>
    <w:rsid w:val="00FD7A88"/>
    <w:rsid w:val="00FD7C0A"/>
    <w:rsid w:val="00FE31CB"/>
    <w:rsid w:val="00FE3415"/>
    <w:rsid w:val="00FE3E4D"/>
    <w:rsid w:val="00FE412F"/>
    <w:rsid w:val="00FE5FE9"/>
    <w:rsid w:val="00FE7317"/>
    <w:rsid w:val="00FF07A5"/>
    <w:rsid w:val="00FF190C"/>
    <w:rsid w:val="00FF3FCE"/>
    <w:rsid w:val="00FF5AF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47"/>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D81"/>
    <w:pPr>
      <w:ind w:left="720"/>
      <w:contextualSpacing/>
    </w:pPr>
  </w:style>
  <w:style w:type="paragraph" w:styleId="FootnoteText">
    <w:name w:val="footnote text"/>
    <w:basedOn w:val="Normal"/>
    <w:link w:val="FootnoteTextChar"/>
    <w:uiPriority w:val="99"/>
    <w:semiHidden/>
    <w:rsid w:val="002D1D78"/>
    <w:rPr>
      <w:sz w:val="20"/>
      <w:szCs w:val="20"/>
    </w:rPr>
  </w:style>
  <w:style w:type="character" w:customStyle="1" w:styleId="FootnoteTextChar">
    <w:name w:val="Footnote Text Char"/>
    <w:basedOn w:val="DefaultParagraphFont"/>
    <w:link w:val="FootnoteText"/>
    <w:uiPriority w:val="99"/>
    <w:semiHidden/>
    <w:locked/>
    <w:rsid w:val="002D1D78"/>
    <w:rPr>
      <w:rFonts w:cs="Times New Roman"/>
      <w:sz w:val="20"/>
      <w:szCs w:val="20"/>
    </w:rPr>
  </w:style>
  <w:style w:type="character" w:styleId="FootnoteReference">
    <w:name w:val="footnote reference"/>
    <w:basedOn w:val="DefaultParagraphFont"/>
    <w:uiPriority w:val="99"/>
    <w:semiHidden/>
    <w:rsid w:val="002D1D78"/>
    <w:rPr>
      <w:rFonts w:cs="Times New Roman"/>
      <w:vertAlign w:val="superscript"/>
    </w:rPr>
  </w:style>
  <w:style w:type="character" w:styleId="CommentReference">
    <w:name w:val="annotation reference"/>
    <w:basedOn w:val="DefaultParagraphFont"/>
    <w:uiPriority w:val="99"/>
    <w:semiHidden/>
    <w:rsid w:val="00F533B3"/>
    <w:rPr>
      <w:rFonts w:cs="Times New Roman"/>
      <w:sz w:val="16"/>
      <w:szCs w:val="16"/>
    </w:rPr>
  </w:style>
  <w:style w:type="paragraph" w:styleId="CommentText">
    <w:name w:val="annotation text"/>
    <w:basedOn w:val="Normal"/>
    <w:link w:val="CommentTextChar"/>
    <w:uiPriority w:val="99"/>
    <w:semiHidden/>
    <w:rsid w:val="00F533B3"/>
    <w:rPr>
      <w:sz w:val="20"/>
      <w:szCs w:val="20"/>
    </w:rPr>
  </w:style>
  <w:style w:type="character" w:customStyle="1" w:styleId="CommentTextChar">
    <w:name w:val="Comment Text Char"/>
    <w:basedOn w:val="DefaultParagraphFont"/>
    <w:link w:val="CommentText"/>
    <w:uiPriority w:val="99"/>
    <w:semiHidden/>
    <w:locked/>
    <w:rsid w:val="00F533B3"/>
    <w:rPr>
      <w:rFonts w:cs="Times New Roman"/>
      <w:sz w:val="20"/>
      <w:szCs w:val="20"/>
    </w:rPr>
  </w:style>
  <w:style w:type="paragraph" w:styleId="CommentSubject">
    <w:name w:val="annotation subject"/>
    <w:basedOn w:val="CommentText"/>
    <w:next w:val="CommentText"/>
    <w:link w:val="CommentSubjectChar"/>
    <w:uiPriority w:val="99"/>
    <w:semiHidden/>
    <w:rsid w:val="00F533B3"/>
    <w:rPr>
      <w:b/>
      <w:bCs/>
    </w:rPr>
  </w:style>
  <w:style w:type="character" w:customStyle="1" w:styleId="CommentSubjectChar">
    <w:name w:val="Comment Subject Char"/>
    <w:basedOn w:val="CommentTextChar"/>
    <w:link w:val="CommentSubject"/>
    <w:uiPriority w:val="99"/>
    <w:semiHidden/>
    <w:locked/>
    <w:rsid w:val="00F533B3"/>
    <w:rPr>
      <w:b/>
      <w:bCs/>
    </w:rPr>
  </w:style>
  <w:style w:type="paragraph" w:styleId="Revision">
    <w:name w:val="Revision"/>
    <w:hidden/>
    <w:uiPriority w:val="99"/>
    <w:semiHidden/>
    <w:rsid w:val="00F533B3"/>
  </w:style>
  <w:style w:type="paragraph" w:styleId="BalloonText">
    <w:name w:val="Balloon Text"/>
    <w:basedOn w:val="Normal"/>
    <w:link w:val="BalloonTextChar"/>
    <w:uiPriority w:val="99"/>
    <w:semiHidden/>
    <w:rsid w:val="00F533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33B3"/>
    <w:rPr>
      <w:rFonts w:ascii="Tahoma" w:hAnsi="Tahoma" w:cs="Tahoma"/>
      <w:sz w:val="16"/>
      <w:szCs w:val="16"/>
    </w:rPr>
  </w:style>
  <w:style w:type="paragraph" w:styleId="Header">
    <w:name w:val="header"/>
    <w:basedOn w:val="Normal"/>
    <w:link w:val="HeaderChar"/>
    <w:uiPriority w:val="99"/>
    <w:rsid w:val="000C57F5"/>
    <w:pPr>
      <w:tabs>
        <w:tab w:val="center" w:pos="4703"/>
        <w:tab w:val="right" w:pos="9406"/>
      </w:tabs>
    </w:pPr>
  </w:style>
  <w:style w:type="character" w:customStyle="1" w:styleId="HeaderChar">
    <w:name w:val="Header Char"/>
    <w:basedOn w:val="DefaultParagraphFont"/>
    <w:link w:val="Header"/>
    <w:uiPriority w:val="99"/>
    <w:locked/>
    <w:rsid w:val="000C57F5"/>
    <w:rPr>
      <w:rFonts w:cs="Times New Roman"/>
    </w:rPr>
  </w:style>
  <w:style w:type="paragraph" w:styleId="Footer">
    <w:name w:val="footer"/>
    <w:basedOn w:val="Normal"/>
    <w:link w:val="FooterChar"/>
    <w:uiPriority w:val="99"/>
    <w:rsid w:val="000C57F5"/>
    <w:pPr>
      <w:tabs>
        <w:tab w:val="center" w:pos="4703"/>
        <w:tab w:val="right" w:pos="9406"/>
      </w:tabs>
    </w:pPr>
  </w:style>
  <w:style w:type="character" w:customStyle="1" w:styleId="FooterChar">
    <w:name w:val="Footer Char"/>
    <w:basedOn w:val="DefaultParagraphFont"/>
    <w:link w:val="Footer"/>
    <w:uiPriority w:val="99"/>
    <w:locked/>
    <w:rsid w:val="000C57F5"/>
    <w:rPr>
      <w:rFonts w:cs="Times New Roman"/>
    </w:rPr>
  </w:style>
  <w:style w:type="character" w:styleId="Hyperlink">
    <w:name w:val="Hyperlink"/>
    <w:basedOn w:val="DefaultParagraphFont"/>
    <w:uiPriority w:val="99"/>
    <w:rsid w:val="004C404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309</TotalTime>
  <Pages>22</Pages>
  <Words>5259</Words>
  <Characters>29978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c:creator>
  <cp:keywords/>
  <dc:description/>
  <cp:lastModifiedBy>AHMET</cp:lastModifiedBy>
  <cp:revision>13</cp:revision>
  <cp:lastPrinted>2014-04-11T08:33:00Z</cp:lastPrinted>
  <dcterms:created xsi:type="dcterms:W3CDTF">2014-04-09T07:19:00Z</dcterms:created>
  <dcterms:modified xsi:type="dcterms:W3CDTF">2014-04-22T15:52:00Z</dcterms:modified>
</cp:coreProperties>
</file>